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B7C5" w14:textId="60C6AA24" w:rsidR="009C0A33" w:rsidRPr="00446A4B" w:rsidRDefault="00446A4B" w:rsidP="009C0A33">
      <w:pPr>
        <w:pStyle w:val="Heading1"/>
        <w:rPr>
          <w:rFonts w:ascii="Sakkal Majalla" w:hAnsi="Sakkal Majalla" w:cs="Sakkal Majalla"/>
          <w:rtl/>
        </w:rPr>
      </w:pPr>
      <w:r w:rsidRPr="00446A4B">
        <w:rPr>
          <w:rFonts w:ascii="Sakkal Majalla" w:hAnsi="Sakkal Majalla" w:cs="Sakkal Majalla"/>
          <w:rtl/>
        </w:rPr>
        <w:t>جامعة المنارة</w:t>
      </w:r>
    </w:p>
    <w:p w14:paraId="55CC1106" w14:textId="35428825" w:rsidR="00022EF2" w:rsidRPr="00022EF2" w:rsidRDefault="00446A4B" w:rsidP="00022EF2">
      <w:pPr>
        <w:pStyle w:val="Heading1"/>
        <w:rPr>
          <w:rFonts w:ascii="Sakkal Majalla" w:hAnsi="Sakkal Majalla" w:cs="Sakkal Majalla"/>
          <w:rtl/>
        </w:rPr>
      </w:pPr>
      <w:r w:rsidRPr="00446A4B">
        <w:rPr>
          <w:rFonts w:ascii="Sakkal Majalla" w:hAnsi="Sakkal Majalla" w:cs="Sakkal Majalla"/>
          <w:rtl/>
        </w:rPr>
        <w:t xml:space="preserve">كلية: </w:t>
      </w:r>
      <w:r w:rsidR="00837AF0">
        <w:rPr>
          <w:rFonts w:ascii="Sakkal Majalla" w:hAnsi="Sakkal Majalla" w:cs="Sakkal Majalla" w:hint="cs"/>
          <w:rtl/>
        </w:rPr>
        <w:t>الصيدلة</w:t>
      </w:r>
    </w:p>
    <w:p w14:paraId="2E6F761C" w14:textId="77BF7680" w:rsidR="009C0A33" w:rsidRDefault="005B4EF4" w:rsidP="009C0A33">
      <w:pPr>
        <w:pStyle w:val="Heading1"/>
        <w:rPr>
          <w:rFonts w:ascii="Sakkal Majalla" w:hAnsi="Sakkal Majalla" w:cs="Sakkal Majalla"/>
          <w:rtl/>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837AF0">
        <w:rPr>
          <w:rFonts w:ascii="Sakkal Majalla" w:hAnsi="Sakkal Majalla" w:cs="Sakkal Majalla" w:hint="cs"/>
          <w:rtl/>
        </w:rPr>
        <w:t>كيمياء حيوية  1 عملي</w:t>
      </w:r>
    </w:p>
    <w:p w14:paraId="778FA880" w14:textId="5D3911E3" w:rsidR="00B43926" w:rsidRPr="00B43926" w:rsidRDefault="00B43926" w:rsidP="00B43926">
      <w:pPr>
        <w:jc w:val="center"/>
        <w:rPr>
          <w:rFonts w:eastAsiaTheme="majorEastAsia"/>
          <w:b/>
          <w:bCs/>
          <w:color w:val="2F5496" w:themeColor="accent1" w:themeShade="BF"/>
          <w:kern w:val="2"/>
          <w:sz w:val="44"/>
          <w:szCs w:val="44"/>
          <w:lang w:bidi="ar-SY"/>
          <w14:ligatures w14:val="standardContextual"/>
        </w:rPr>
      </w:pPr>
      <w:r w:rsidRPr="00B43926">
        <w:rPr>
          <w:rFonts w:eastAsiaTheme="majorEastAsia" w:hint="cs"/>
          <w:b/>
          <w:bCs/>
          <w:color w:val="2F5496" w:themeColor="accent1" w:themeShade="BF"/>
          <w:kern w:val="2"/>
          <w:sz w:val="44"/>
          <w:szCs w:val="44"/>
          <w:rtl/>
          <w:lang w:bidi="ar-SY"/>
          <w14:ligatures w14:val="standardContextual"/>
        </w:rPr>
        <w:t>إعداد : د. خلود سفكونة</w:t>
      </w:r>
    </w:p>
    <w:p w14:paraId="7B8DC8B7" w14:textId="2C26FA1A" w:rsidR="00446A4B" w:rsidRPr="00446A4B" w:rsidRDefault="009C0A33" w:rsidP="00446A4B">
      <w:pPr>
        <w:pStyle w:val="Heading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837AF0">
        <w:rPr>
          <w:rFonts w:ascii="Sakkal Majalla" w:hAnsi="Sakkal Majalla" w:cs="Sakkal Majalla" w:hint="cs"/>
          <w:rtl/>
        </w:rPr>
        <w:t>1</w:t>
      </w:r>
      <w:r w:rsidRPr="00446A4B">
        <w:rPr>
          <w:rFonts w:ascii="Sakkal Majalla" w:hAnsi="Sakkal Majalla" w:cs="Sakkal Majalla"/>
          <w:rtl/>
        </w:rPr>
        <w:t>)</w:t>
      </w:r>
    </w:p>
    <w:p w14:paraId="5C5A4CC0" w14:textId="42B01B11" w:rsidR="00446A4B" w:rsidRPr="00446A4B" w:rsidRDefault="00446A4B" w:rsidP="009C0A33">
      <w:pPr>
        <w:pStyle w:val="Heading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00A8B137" w:rsidR="009C0A33" w:rsidRPr="002F21C7" w:rsidRDefault="00837AF0" w:rsidP="00446A4B">
      <w:pPr>
        <w:pStyle w:val="Heading1"/>
        <w:rPr>
          <w:rFonts w:ascii="Sakkal Majalla" w:hAnsi="Sakkal Majalla" w:cs="Sakkal Majalla"/>
        </w:rPr>
      </w:pPr>
      <w:r w:rsidRPr="002F21C7">
        <w:rPr>
          <w:rFonts w:ascii="Sakkal Majalla" w:eastAsia="Times New Roman" w:hAnsi="Sakkal Majalla" w:cs="Sakkal Majalla"/>
          <w:rtl/>
        </w:rPr>
        <w:t>مقدمة في الكيمياء الحيوية وقواعد العمل المخبري</w:t>
      </w:r>
      <w:r w:rsidRPr="002F21C7">
        <w:rPr>
          <w:rFonts w:ascii="Sakkal Majalla" w:hAnsi="Sakkal Majalla" w:cs="Sakkal Majalla"/>
        </w:rPr>
        <w:t xml:space="preserve"> </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4A9B6342" w:rsidR="00EE29E3" w:rsidRDefault="00EE29E3" w:rsidP="002F21C7">
      <w:pPr>
        <w:rPr>
          <w:b/>
          <w:bCs/>
          <w:rtl/>
        </w:rPr>
      </w:pPr>
      <w:r w:rsidRPr="00EE29E3">
        <w:rPr>
          <w:rFonts w:hint="cs"/>
          <w:b/>
          <w:bCs/>
          <w:rtl/>
        </w:rPr>
        <w:t xml:space="preserve">الفصل الدراسي  </w:t>
      </w:r>
      <w:r w:rsidR="00837AF0">
        <w:rPr>
          <w:rFonts w:hint="cs"/>
          <w:b/>
          <w:bCs/>
          <w:rtl/>
        </w:rPr>
        <w:t>ال</w:t>
      </w:r>
      <w:r w:rsidR="00022EF2">
        <w:rPr>
          <w:rFonts w:hint="cs"/>
          <w:b/>
          <w:bCs/>
          <w:rtl/>
        </w:rPr>
        <w:t>ثاني</w:t>
      </w:r>
      <w:r w:rsidR="00837AF0">
        <w:rPr>
          <w:rFonts w:hint="cs"/>
          <w:b/>
          <w:bCs/>
          <w:rtl/>
        </w:rPr>
        <w:t xml:space="preserve"> </w:t>
      </w:r>
      <w:r w:rsidRPr="00EE29E3">
        <w:rPr>
          <w:rFonts w:hint="cs"/>
          <w:b/>
          <w:bCs/>
          <w:rtl/>
        </w:rPr>
        <w:t xml:space="preserve">                                                                                                                                           العام الدراسي</w:t>
      </w:r>
      <w:r w:rsidR="00837AF0">
        <w:rPr>
          <w:rFonts w:hint="cs"/>
          <w:b/>
          <w:bCs/>
          <w:rtl/>
        </w:rPr>
        <w:t xml:space="preserve"> 2022 / 2023</w:t>
      </w:r>
    </w:p>
    <w:p w14:paraId="5B03CFEC" w14:textId="77777777" w:rsidR="002F21C7" w:rsidRDefault="002F21C7" w:rsidP="002F21C7">
      <w:pPr>
        <w:rPr>
          <w:b/>
          <w:bCs/>
          <w:rtl/>
        </w:rPr>
      </w:pPr>
    </w:p>
    <w:p w14:paraId="5E0B33C2" w14:textId="77777777" w:rsidR="002F21C7" w:rsidRPr="00EE29E3" w:rsidRDefault="002F21C7" w:rsidP="002F21C7">
      <w:pPr>
        <w:rPr>
          <w:b/>
          <w:bCs/>
        </w:rPr>
      </w:pPr>
    </w:p>
    <w:p w14:paraId="61BA6A3D" w14:textId="77777777" w:rsidR="00847301" w:rsidRPr="00446A4B" w:rsidRDefault="00847301" w:rsidP="00BB2074">
      <w:pPr>
        <w:pStyle w:val="Title"/>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TOCHeading"/>
            <w:bidi/>
            <w:rPr>
              <w:rFonts w:ascii="Sakkal Majalla" w:hAnsi="Sakkal Majalla" w:cs="Sakkal Majalla"/>
            </w:rPr>
          </w:pPr>
          <w:r w:rsidRPr="00446A4B">
            <w:rPr>
              <w:rFonts w:ascii="Sakkal Majalla" w:hAnsi="Sakkal Majalla" w:cs="Sakkal Majalla"/>
            </w:rPr>
            <w:t>Contents</w:t>
          </w:r>
        </w:p>
      </w:sdtContent>
    </w:sdt>
    <w:tbl>
      <w:tblPr>
        <w:tblStyle w:val="TableGrid"/>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Title"/>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2F21C7" w:rsidRPr="00446A4B" w14:paraId="41BE7F9E" w14:textId="77777777" w:rsidTr="00855B13">
        <w:tc>
          <w:tcPr>
            <w:tcW w:w="7463" w:type="dxa"/>
          </w:tcPr>
          <w:p w14:paraId="0E3490CA" w14:textId="6113B2BF" w:rsidR="002F21C7" w:rsidRPr="00446A4B" w:rsidRDefault="002F21C7" w:rsidP="002F21C7">
            <w:pPr>
              <w:pStyle w:val="Title"/>
              <w:rPr>
                <w:rFonts w:ascii="Sakkal Majalla" w:hAnsi="Sakkal Majalla" w:cs="Sakkal Majalla"/>
                <w:sz w:val="28"/>
                <w:szCs w:val="28"/>
                <w:rtl/>
              </w:rPr>
            </w:pPr>
            <w:r w:rsidRPr="002F21C7">
              <w:rPr>
                <w:rFonts w:ascii="Sakkal Majalla" w:hAnsi="Sakkal Majalla" w:cs="Sakkal Majalla" w:hint="cs"/>
                <w:rtl/>
              </w:rPr>
              <w:t>مقدمة</w:t>
            </w:r>
          </w:p>
        </w:tc>
        <w:tc>
          <w:tcPr>
            <w:tcW w:w="1553" w:type="dxa"/>
          </w:tcPr>
          <w:p w14:paraId="11A35347" w14:textId="7DD58961" w:rsidR="002F21C7" w:rsidRPr="00446A4B" w:rsidRDefault="002F21C7" w:rsidP="00D05624">
            <w:pPr>
              <w:pStyle w:val="Title"/>
              <w:rPr>
                <w:rFonts w:ascii="Sakkal Majalla" w:hAnsi="Sakkal Majalla" w:cs="Sakkal Majalla"/>
                <w:sz w:val="28"/>
                <w:szCs w:val="28"/>
                <w:rtl/>
              </w:rPr>
            </w:pPr>
            <w:r w:rsidRPr="002F21C7">
              <w:rPr>
                <w:rFonts w:ascii="Sakkal Majalla" w:hAnsi="Sakkal Majalla" w:cs="Sakkal Majalla" w:hint="cs"/>
                <w:rtl/>
              </w:rPr>
              <w:t>3</w:t>
            </w:r>
          </w:p>
        </w:tc>
      </w:tr>
      <w:tr w:rsidR="00855B13" w:rsidRPr="00446A4B" w14:paraId="5C4380B5" w14:textId="77777777" w:rsidTr="00855B13">
        <w:tc>
          <w:tcPr>
            <w:tcW w:w="7463" w:type="dxa"/>
          </w:tcPr>
          <w:p w14:paraId="19DAC0B2" w14:textId="0B7E4FC9" w:rsidR="00855B13" w:rsidRPr="00753D81" w:rsidRDefault="00753D81" w:rsidP="00753D81">
            <w:pPr>
              <w:pStyle w:val="Title"/>
              <w:rPr>
                <w:rFonts w:ascii="Simplified Arabic" w:eastAsia="Times New Roman" w:hAnsi="Simplified Arabic" w:cs="Simplified Arabic"/>
                <w:color w:val="000000"/>
                <w:sz w:val="28"/>
                <w:szCs w:val="28"/>
                <w:rtl/>
                <w:lang w:bidi="ar-SA"/>
              </w:rPr>
            </w:pPr>
            <w:r w:rsidRPr="00753D81">
              <w:rPr>
                <w:rFonts w:ascii="Sakkal Majalla" w:hAnsi="Sakkal Majalla" w:cs="Sakkal Majalla"/>
                <w:rtl/>
              </w:rPr>
              <w:t>قواعد العمل والأمان في مخابر الكيمياء الحيو</w:t>
            </w:r>
            <w:r w:rsidRPr="00753D81">
              <w:rPr>
                <w:rFonts w:ascii="Sakkal Majalla" w:hAnsi="Sakkal Majalla" w:cs="Sakkal Majalla" w:hint="cs"/>
                <w:rtl/>
              </w:rPr>
              <w:t>ية</w:t>
            </w:r>
          </w:p>
        </w:tc>
        <w:tc>
          <w:tcPr>
            <w:tcW w:w="1553" w:type="dxa"/>
          </w:tcPr>
          <w:p w14:paraId="781F1A5E" w14:textId="4582FB49" w:rsidR="00855B13" w:rsidRPr="00446A4B" w:rsidRDefault="00753D81" w:rsidP="00D05624">
            <w:pPr>
              <w:pStyle w:val="Title"/>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0F5B8827" w:rsidR="00855B13" w:rsidRPr="00753D81" w:rsidRDefault="00753D81" w:rsidP="00753D81">
            <w:pPr>
              <w:pStyle w:val="Title"/>
              <w:rPr>
                <w:rFonts w:ascii="Sakkal Majalla" w:hAnsi="Sakkal Majalla" w:cs="Sakkal Majalla"/>
                <w:b w:val="0"/>
                <w:bCs w:val="0"/>
                <w:rtl/>
              </w:rPr>
            </w:pPr>
            <w:r w:rsidRPr="00753D81">
              <w:rPr>
                <w:rFonts w:ascii="Sakkal Majalla" w:hAnsi="Sakkal Majalla" w:cs="Sakkal Majalla"/>
                <w:rtl/>
              </w:rPr>
              <w:t>الإسعافات الأولية للإصابات الشائعة في المخابر الكيميائية</w:t>
            </w:r>
          </w:p>
        </w:tc>
        <w:tc>
          <w:tcPr>
            <w:tcW w:w="1553" w:type="dxa"/>
          </w:tcPr>
          <w:p w14:paraId="2F9FBC90" w14:textId="10CD90AF" w:rsidR="00855B13" w:rsidRPr="00446A4B" w:rsidRDefault="006F5093" w:rsidP="00D05624">
            <w:pPr>
              <w:pStyle w:val="Title"/>
              <w:rPr>
                <w:rFonts w:ascii="Sakkal Majalla" w:hAnsi="Sakkal Majalla" w:cs="Sakkal Majalla"/>
                <w:rtl/>
              </w:rPr>
            </w:pPr>
            <w:r>
              <w:rPr>
                <w:rFonts w:ascii="Sakkal Majalla" w:hAnsi="Sakkal Majalla" w:cs="Sakkal Majalla" w:hint="cs"/>
                <w:rtl/>
              </w:rPr>
              <w:t>5</w:t>
            </w:r>
          </w:p>
        </w:tc>
      </w:tr>
      <w:tr w:rsidR="00855B13" w:rsidRPr="00446A4B" w14:paraId="5A182C2F" w14:textId="77777777" w:rsidTr="00855B13">
        <w:tc>
          <w:tcPr>
            <w:tcW w:w="7463" w:type="dxa"/>
          </w:tcPr>
          <w:p w14:paraId="26C956BE" w14:textId="1E9CFB1A" w:rsidR="00855B13" w:rsidRPr="00446A4B" w:rsidRDefault="00753D81" w:rsidP="00D05624">
            <w:pPr>
              <w:pStyle w:val="Title"/>
              <w:rPr>
                <w:rFonts w:ascii="Sakkal Majalla" w:hAnsi="Sakkal Majalla" w:cs="Sakkal Majalla"/>
                <w:rtl/>
              </w:rPr>
            </w:pPr>
            <w:r>
              <w:rPr>
                <w:rFonts w:ascii="Sakkal Majalla" w:hAnsi="Sakkal Majalla" w:cs="Sakkal Majalla" w:hint="cs"/>
                <w:rtl/>
              </w:rPr>
              <w:t>الحروق</w:t>
            </w:r>
          </w:p>
        </w:tc>
        <w:tc>
          <w:tcPr>
            <w:tcW w:w="1553" w:type="dxa"/>
          </w:tcPr>
          <w:p w14:paraId="1511773D" w14:textId="25338098" w:rsidR="00855B13" w:rsidRPr="00446A4B" w:rsidRDefault="006F5093" w:rsidP="00D05624">
            <w:pPr>
              <w:pStyle w:val="Title"/>
              <w:rPr>
                <w:rFonts w:ascii="Sakkal Majalla" w:hAnsi="Sakkal Majalla" w:cs="Sakkal Majalla"/>
                <w:rtl/>
              </w:rPr>
            </w:pPr>
            <w:r>
              <w:rPr>
                <w:rFonts w:ascii="Sakkal Majalla" w:hAnsi="Sakkal Majalla" w:cs="Sakkal Majalla" w:hint="cs"/>
                <w:rtl/>
              </w:rPr>
              <w:t>5</w:t>
            </w:r>
          </w:p>
        </w:tc>
      </w:tr>
      <w:tr w:rsidR="00855B13" w:rsidRPr="00446A4B" w14:paraId="4C34C614" w14:textId="77777777" w:rsidTr="00855B13">
        <w:tc>
          <w:tcPr>
            <w:tcW w:w="7463" w:type="dxa"/>
          </w:tcPr>
          <w:p w14:paraId="6C63FCC9" w14:textId="495C347A" w:rsidR="00855B13" w:rsidRPr="00446A4B" w:rsidRDefault="006F5093" w:rsidP="00D05624">
            <w:pPr>
              <w:pStyle w:val="Title"/>
              <w:rPr>
                <w:rFonts w:ascii="Sakkal Majalla" w:hAnsi="Sakkal Majalla" w:cs="Sakkal Majalla"/>
                <w:rtl/>
              </w:rPr>
            </w:pPr>
            <w:r>
              <w:rPr>
                <w:rFonts w:ascii="Sakkal Majalla" w:hAnsi="Sakkal Majalla" w:cs="Sakkal Majalla" w:hint="cs"/>
                <w:rtl/>
              </w:rPr>
              <w:t>الجروح وإصابات العين</w:t>
            </w:r>
          </w:p>
        </w:tc>
        <w:tc>
          <w:tcPr>
            <w:tcW w:w="1553" w:type="dxa"/>
          </w:tcPr>
          <w:p w14:paraId="52E59292" w14:textId="5B74D27C" w:rsidR="00855B13" w:rsidRPr="00446A4B" w:rsidRDefault="002F21C7" w:rsidP="00D05624">
            <w:pPr>
              <w:pStyle w:val="Title"/>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26E70FAE" w:rsidR="00855B13" w:rsidRPr="00446A4B" w:rsidRDefault="006F5093" w:rsidP="00D05624">
            <w:pPr>
              <w:pStyle w:val="Title"/>
              <w:rPr>
                <w:rFonts w:ascii="Sakkal Majalla" w:hAnsi="Sakkal Majalla" w:cs="Sakkal Majalla"/>
                <w:rtl/>
              </w:rPr>
            </w:pPr>
            <w:r>
              <w:rPr>
                <w:rFonts w:ascii="Sakkal Majalla" w:hAnsi="Sakkal Majalla" w:cs="Sakkal Majalla" w:hint="cs"/>
                <w:rtl/>
              </w:rPr>
              <w:t>ابتلاع المواد الكيميائية</w:t>
            </w:r>
          </w:p>
        </w:tc>
        <w:tc>
          <w:tcPr>
            <w:tcW w:w="1553" w:type="dxa"/>
          </w:tcPr>
          <w:p w14:paraId="4DE2DCC9" w14:textId="5B3233D3" w:rsidR="00855B13" w:rsidRPr="00446A4B" w:rsidRDefault="002F21C7" w:rsidP="00D05624">
            <w:pPr>
              <w:pStyle w:val="Title"/>
              <w:rPr>
                <w:rFonts w:ascii="Sakkal Majalla" w:hAnsi="Sakkal Majalla" w:cs="Sakkal Majalla"/>
                <w:rtl/>
              </w:rPr>
            </w:pPr>
            <w:r>
              <w:rPr>
                <w:rFonts w:ascii="Sakkal Majalla" w:hAnsi="Sakkal Majalla" w:cs="Sakkal Majalla" w:hint="cs"/>
                <w:rtl/>
              </w:rPr>
              <w:t>5</w:t>
            </w:r>
          </w:p>
        </w:tc>
      </w:tr>
    </w:tbl>
    <w:p w14:paraId="4ED4AB76" w14:textId="77777777" w:rsidR="00847301" w:rsidRPr="00446A4B" w:rsidRDefault="00847301" w:rsidP="00D05624">
      <w:pPr>
        <w:pStyle w:val="Title"/>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Default="00847301" w:rsidP="00D05624">
      <w:pPr>
        <w:pStyle w:val="Heading2"/>
        <w:rPr>
          <w:rFonts w:ascii="Sakkal Majalla" w:hAnsi="Sakkal Majalla" w:cs="Sakkal Majalla"/>
          <w:rtl/>
        </w:rPr>
      </w:pPr>
      <w:bookmarkStart w:id="0" w:name="_Toc133308112"/>
      <w:r w:rsidRPr="00446A4B">
        <w:rPr>
          <w:rFonts w:ascii="Sakkal Majalla" w:hAnsi="Sakkal Majalla" w:cs="Sakkal Majalla"/>
          <w:rtl/>
        </w:rPr>
        <w:lastRenderedPageBreak/>
        <w:t>الغاية من الجلسة:</w:t>
      </w:r>
      <w:bookmarkEnd w:id="0"/>
    </w:p>
    <w:p w14:paraId="49D77427" w14:textId="6556E664" w:rsidR="00847301" w:rsidRPr="002F21C7" w:rsidRDefault="00753D81" w:rsidP="00837AF0">
      <w:pPr>
        <w:rPr>
          <w:rtl/>
          <w:lang w:bidi="ar-SY"/>
        </w:rPr>
      </w:pPr>
      <w:r w:rsidRPr="002F21C7">
        <w:rPr>
          <w:rtl/>
          <w:lang w:bidi="ar-SY"/>
        </w:rPr>
        <w:t>التعريف ب علم الكيمياء الحيوية والتعرف على قوعد الأمان المخبري</w:t>
      </w:r>
    </w:p>
    <w:p w14:paraId="0EE88873" w14:textId="6ABDEFE9" w:rsidR="00753D81" w:rsidRPr="002F21C7" w:rsidRDefault="00847301" w:rsidP="00753D81">
      <w:pPr>
        <w:rPr>
          <w:rFonts w:eastAsia="Times New Roman"/>
          <w:b/>
          <w:bCs/>
          <w:color w:val="000000"/>
          <w:rtl/>
        </w:rPr>
      </w:pPr>
      <w:bookmarkStart w:id="1" w:name="_Toc133308113"/>
      <w:r w:rsidRPr="002F21C7">
        <w:rPr>
          <w:rFonts w:eastAsiaTheme="majorEastAsia"/>
          <w:b/>
          <w:bCs/>
          <w:color w:val="2F5496" w:themeColor="accent1" w:themeShade="BF"/>
          <w:kern w:val="2"/>
          <w:sz w:val="26"/>
          <w:szCs w:val="26"/>
          <w:rtl/>
          <w:lang w:bidi="ar-SY"/>
          <w14:ligatures w14:val="standardContextual"/>
        </w:rPr>
        <w:t>مقدمة</w:t>
      </w:r>
      <w:r w:rsidRPr="002F21C7">
        <w:rPr>
          <w:rtl/>
        </w:rPr>
        <w:t>:</w:t>
      </w:r>
      <w:bookmarkEnd w:id="1"/>
      <w:r w:rsidR="00753D81" w:rsidRPr="002F21C7">
        <w:rPr>
          <w:rFonts w:eastAsia="Times New Roman"/>
          <w:color w:val="000000"/>
          <w:rtl/>
        </w:rPr>
        <w:t xml:space="preserve"> يعرف علم الكيمياء الحيوية بأنه علم كيمياء الحياة، حيث يعنى هذا العلم بدراسة المكونات الرئيسية الداخلة في تركيب المادة الحية، والتي تشمل البروتينات والسكريات والدسم والحموض النووية وجزيئات حيوية أخرى، وتحديد البنية الكيميائية لهذه المركبات، ودورها في العمليات والوظائف الحيوية، والتفاعلات الاستقلابية التي تطرأ عليها داخل الخلايا الحية والتي تشمل الاصطناع (البناء) والتدرك (الهدم). أما الكيمياء الحيوية السريرية فهي أحد فروع الكيمياء الحيوية، وتدعى أيضاً الكيمياء المرضية أو الكيمياء السريرية، وتدرس الاضطرابات التي تطرأ على العمليات الاستقلابية ودلالاتها المرضية</w:t>
      </w:r>
      <w:r w:rsidR="00753D81" w:rsidRPr="002F21C7">
        <w:rPr>
          <w:rFonts w:eastAsia="Times New Roman"/>
          <w:color w:val="000000"/>
        </w:rPr>
        <w:t>.</w:t>
      </w:r>
      <w:r w:rsidR="00753D81" w:rsidRPr="002F21C7">
        <w:rPr>
          <w:rFonts w:eastAsia="Times New Roman"/>
          <w:color w:val="000000"/>
          <w:rtl/>
        </w:rPr>
        <w:t xml:space="preserve"> إن العمل في المخابر الكيميائية يتطلب وعياً كاملاً بخطورة المواد المستخدمة، حيث أن كثير من المواد يتصف بالسمية، أو القدرة على تهييج الأغشية المخاطية، ومنها ما هو حارق أو قابل للاشتعال، وغير ذلك من أشكال الخطورة. بالإضافة لذلك فإن مخابر الكيمياء الحيوية يتم التعامل فيها مع عينات حيوية (دم، بول..)، قد تكون مصدراً للعدوى بعوامل ممرضة معينة</w:t>
      </w:r>
      <w:r w:rsidR="00753D81" w:rsidRPr="002F21C7">
        <w:rPr>
          <w:rFonts w:eastAsia="Times New Roman"/>
          <w:color w:val="000000"/>
        </w:rPr>
        <w:t>.</w:t>
      </w:r>
      <w:r w:rsidR="00753D81" w:rsidRPr="002F21C7">
        <w:rPr>
          <w:rFonts w:eastAsia="Times New Roman"/>
          <w:color w:val="000000"/>
        </w:rPr>
        <w:br/>
      </w:r>
      <w:r w:rsidR="00753D81" w:rsidRPr="002F21C7">
        <w:rPr>
          <w:rFonts w:eastAsia="Times New Roman"/>
          <w:color w:val="000000"/>
          <w:rtl/>
        </w:rPr>
        <w:t>بناء على ذلك يجب أخذ الحيطة والحذر وإتباع تعليمات السلامة الموصى بها خلال العمل المخبري</w:t>
      </w:r>
      <w:r w:rsidR="00753D81" w:rsidRPr="002F21C7">
        <w:rPr>
          <w:rFonts w:eastAsia="Times New Roman"/>
          <w:color w:val="000000"/>
        </w:rPr>
        <w:t>.</w:t>
      </w:r>
    </w:p>
    <w:p w14:paraId="09C74D84" w14:textId="77777777" w:rsidR="00753D81" w:rsidRPr="002F21C7" w:rsidRDefault="00753D81" w:rsidP="002F21C7">
      <w:pPr>
        <w:pStyle w:val="Heading2"/>
        <w:rPr>
          <w:rFonts w:ascii="Sakkal Majalla" w:hAnsi="Sakkal Majalla" w:cs="Sakkal Majalla"/>
          <w:rtl/>
        </w:rPr>
      </w:pPr>
      <w:r w:rsidRPr="002F21C7">
        <w:rPr>
          <w:rFonts w:ascii="Sakkal Majalla" w:hAnsi="Sakkal Majalla" w:cs="Sakkal Majalla"/>
          <w:rtl/>
        </w:rPr>
        <w:t>قواعد العمل والأمان في مخابر الكيمياء الحيوية</w:t>
      </w:r>
      <w:r w:rsidRPr="002F21C7">
        <w:rPr>
          <w:rFonts w:ascii="Sakkal Majalla" w:hAnsi="Sakkal Majalla" w:cs="Sakkal Majalla"/>
        </w:rPr>
        <w:t>:</w:t>
      </w:r>
    </w:p>
    <w:p w14:paraId="3DF57B19"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Pr>
        <w:t>.1</w:t>
      </w:r>
      <w:r w:rsidRPr="002F21C7">
        <w:rPr>
          <w:rFonts w:eastAsia="Times New Roman"/>
          <w:color w:val="000000"/>
          <w:rtl/>
        </w:rPr>
        <w:t>التقيد بارتداء لباس خاص مصمم للعمل المخبري من طبيعة قطنية، لا يعيق الحركة، ولونه أبيض، وعدم ارتداء الحلي، وعدم ترك الشعر مفروداً خلال العمل، ويفضل ارتداء نظارات واقية للعينين وكمامات وقفازات خاصة عند التعامل مع المواد الكيميائية الخطرة أو مع العينات الحيوية</w:t>
      </w:r>
      <w:r w:rsidRPr="002F21C7">
        <w:rPr>
          <w:rFonts w:eastAsia="Times New Roman"/>
          <w:color w:val="000000"/>
        </w:rPr>
        <w:t>.</w:t>
      </w:r>
    </w:p>
    <w:p w14:paraId="0D804620"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t>2.يمنع منعاً باتاً تناول الطعام أو الشراب أو التدخين في المخبر</w:t>
      </w:r>
      <w:r w:rsidRPr="002F21C7">
        <w:rPr>
          <w:rFonts w:eastAsia="Times New Roman"/>
          <w:color w:val="000000"/>
        </w:rPr>
        <w:t>.</w:t>
      </w:r>
    </w:p>
    <w:p w14:paraId="0D0EFD83"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t>3.يهيأ مكان العمل قبل البدء بإجراء التجارب المخبرية، وتجهز جميع الكواشف والمحاليل والأجهزة اللازمة، وتغسل الأدوات قبل البدء بالماء العادي ثم بالماء المقطر</w:t>
      </w:r>
      <w:r w:rsidRPr="002F21C7">
        <w:rPr>
          <w:rFonts w:eastAsia="Times New Roman"/>
          <w:color w:val="000000"/>
        </w:rPr>
        <w:t>.</w:t>
      </w:r>
    </w:p>
    <w:p w14:paraId="132053CC" w14:textId="77777777" w:rsidR="00753D81" w:rsidRPr="002F21C7" w:rsidRDefault="00753D81" w:rsidP="00753D81">
      <w:pPr>
        <w:spacing w:after="120" w:line="264" w:lineRule="auto"/>
        <w:jc w:val="both"/>
        <w:rPr>
          <w:rFonts w:eastAsia="Times New Roman"/>
          <w:color w:val="000000"/>
          <w:rtl/>
          <w:lang w:bidi="ar-SY"/>
        </w:rPr>
      </w:pPr>
      <w:r w:rsidRPr="002F21C7">
        <w:rPr>
          <w:rFonts w:eastAsia="Times New Roman"/>
          <w:color w:val="000000"/>
          <w:rtl/>
        </w:rPr>
        <w:t>4.توضع عبوات المحاليل والكواشف في أماكن مخصصة ولا يجوز نقلها من مكان إلى آخر. ويراعى عدم تحريك الأنابيب الزجاجية الحاوية على مواد كيميائية فوق رؤوس الزملاء في المخبر</w:t>
      </w:r>
      <w:r w:rsidRPr="002F21C7">
        <w:rPr>
          <w:rFonts w:eastAsia="Times New Roman"/>
          <w:color w:val="000000"/>
        </w:rPr>
        <w:t>.</w:t>
      </w:r>
    </w:p>
    <w:p w14:paraId="5A3B7E58" w14:textId="77777777" w:rsidR="00753D81" w:rsidRPr="002F21C7" w:rsidRDefault="00753D81" w:rsidP="00753D81">
      <w:pPr>
        <w:spacing w:after="120" w:line="264" w:lineRule="auto"/>
        <w:jc w:val="both"/>
        <w:rPr>
          <w:rFonts w:eastAsia="Times New Roman"/>
          <w:color w:val="000000"/>
          <w:rtl/>
          <w:lang w:bidi="ar-SY"/>
        </w:rPr>
      </w:pPr>
      <w:r w:rsidRPr="002F21C7">
        <w:rPr>
          <w:rFonts w:eastAsia="Times New Roman"/>
          <w:color w:val="000000"/>
          <w:rtl/>
        </w:rPr>
        <w:t>5.يمنع منعاً باتاً تذوق المادة الكيميائية أو تقريبها من الأنف لمعرفة هويتها، ويتم التعامل مع المواد السامة أو ذات الأبخرة تحت ساحبة الهواء حصراً</w:t>
      </w:r>
      <w:r w:rsidRPr="002F21C7">
        <w:rPr>
          <w:rFonts w:eastAsia="Times New Roman"/>
          <w:color w:val="000000"/>
        </w:rPr>
        <w:t>.</w:t>
      </w:r>
    </w:p>
    <w:p w14:paraId="376AC984" w14:textId="77777777" w:rsidR="00753D81" w:rsidRPr="002F21C7" w:rsidRDefault="00753D81" w:rsidP="00753D81">
      <w:pPr>
        <w:spacing w:after="120" w:line="264" w:lineRule="auto"/>
        <w:jc w:val="both"/>
        <w:rPr>
          <w:rFonts w:eastAsia="Times New Roman"/>
          <w:color w:val="000000"/>
          <w:rtl/>
          <w:lang w:bidi="ar-SY"/>
        </w:rPr>
      </w:pPr>
      <w:r w:rsidRPr="002F21C7">
        <w:rPr>
          <w:rFonts w:eastAsiaTheme="minorEastAsia"/>
          <w:noProof/>
        </w:rPr>
        <w:lastRenderedPageBreak/>
        <w:drawing>
          <wp:anchor distT="0" distB="0" distL="114300" distR="114300" simplePos="0" relativeHeight="251659264" behindDoc="0" locked="0" layoutInCell="1" allowOverlap="1" wp14:anchorId="578540EA" wp14:editId="2E183616">
            <wp:simplePos x="0" y="0"/>
            <wp:positionH relativeFrom="margin">
              <wp:align>center</wp:align>
            </wp:positionH>
            <wp:positionV relativeFrom="paragraph">
              <wp:posOffset>762635</wp:posOffset>
            </wp:positionV>
            <wp:extent cx="4933950" cy="436816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33950" cy="4368165"/>
                    </a:xfrm>
                    <a:prstGeom prst="rect">
                      <a:avLst/>
                    </a:prstGeom>
                  </pic:spPr>
                </pic:pic>
              </a:graphicData>
            </a:graphic>
            <wp14:sizeRelH relativeFrom="margin">
              <wp14:pctWidth>0</wp14:pctWidth>
            </wp14:sizeRelH>
            <wp14:sizeRelV relativeFrom="margin">
              <wp14:pctHeight>0</wp14:pctHeight>
            </wp14:sizeRelV>
          </wp:anchor>
        </w:drawing>
      </w:r>
      <w:r w:rsidRPr="002F21C7">
        <w:rPr>
          <w:rFonts w:eastAsia="Times New Roman"/>
          <w:color w:val="000000"/>
          <w:rtl/>
        </w:rPr>
        <w:t>6.توضع اللصاقات على جميع العبوات للدلالة على محتواها والمعلومات الخاصة بالمواد الموجودة فيها. ويجب الانتباه إلى بعض الرموز التي تشير إلى خطورة محتوى العبوات، ومن أهم هذه الرموز</w:t>
      </w:r>
      <w:r w:rsidRPr="002F21C7">
        <w:rPr>
          <w:rFonts w:eastAsia="Times New Roman"/>
          <w:color w:val="000000"/>
        </w:rPr>
        <w:t>:</w:t>
      </w:r>
    </w:p>
    <w:p w14:paraId="16C194BD"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lang w:bidi="ar-SY"/>
        </w:rPr>
        <w:t>7.</w:t>
      </w:r>
      <w:r w:rsidRPr="002F21C7">
        <w:rPr>
          <w:rFonts w:eastAsia="Times New Roman"/>
          <w:color w:val="000000"/>
          <w:rtl/>
        </w:rPr>
        <w:t>تؤخذ المواد السائلة من العبوات الرئيسية بالممصات او الاسطوانات المدرجة، ويمنع ملء الممصات من خلال الفم عند التعامل مع المواد الكيميائية السامة، وتستخدم لذلك الإجاصات المطاطية</w:t>
      </w:r>
      <w:r w:rsidRPr="002F21C7">
        <w:rPr>
          <w:rFonts w:eastAsia="Times New Roman"/>
          <w:color w:val="000000"/>
        </w:rPr>
        <w:t>.</w:t>
      </w:r>
    </w:p>
    <w:p w14:paraId="1B73CA97"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t>8.تؤخذ المواد الصلبة بواسطة ملاعق خاصة، ويمنع لمس المواد الصلبة باليد لأن بعضها قد يكون مخرش أو حارق</w:t>
      </w:r>
      <w:r w:rsidRPr="002F21C7">
        <w:rPr>
          <w:rFonts w:eastAsia="Times New Roman"/>
          <w:color w:val="000000"/>
        </w:rPr>
        <w:t>.</w:t>
      </w:r>
      <w:r w:rsidRPr="002F21C7">
        <w:rPr>
          <w:rFonts w:eastAsia="Times New Roman"/>
          <w:color w:val="000000"/>
          <w:rtl/>
        </w:rPr>
        <w:t xml:space="preserve"> ويراعى عدم نقل الممصات أو الملاعق بين العبوات المختلفة لمنع تلويثها</w:t>
      </w:r>
      <w:r w:rsidRPr="002F21C7">
        <w:rPr>
          <w:rFonts w:eastAsia="Times New Roman"/>
          <w:color w:val="000000"/>
        </w:rPr>
        <w:t>.</w:t>
      </w:r>
    </w:p>
    <w:p w14:paraId="442FB19C"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t>9.يجب الحذر عند تسخين الأنابيب الزجاجية، واستخدام الملاقط الخاصة، وعدم توجيه فوهة الأنبوب أثناء التسخين نحو نفسك أو نحو الأشخاص المجاورين. ولا يجوز خلط المحاليل أو إضافة المواد الصلبة إليها خلال عملية التسخين</w:t>
      </w:r>
      <w:r w:rsidRPr="002F21C7">
        <w:rPr>
          <w:rFonts w:eastAsia="Times New Roman"/>
          <w:color w:val="000000"/>
        </w:rPr>
        <w:t>.</w:t>
      </w:r>
    </w:p>
    <w:p w14:paraId="74BD94B2"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t>10.لا يجوز تسخين المواد القابلة للاشتعال على اللهب مباشرة إنما عن طريق الحمامات المائية</w:t>
      </w:r>
      <w:r w:rsidRPr="002F21C7">
        <w:rPr>
          <w:rFonts w:eastAsia="Times New Roman"/>
          <w:color w:val="000000"/>
        </w:rPr>
        <w:t>.</w:t>
      </w:r>
    </w:p>
    <w:p w14:paraId="27FE6781" w14:textId="77777777" w:rsidR="00753D81" w:rsidRPr="002F21C7" w:rsidRDefault="00753D81" w:rsidP="00753D81">
      <w:pPr>
        <w:spacing w:after="120" w:line="264" w:lineRule="auto"/>
        <w:jc w:val="both"/>
        <w:rPr>
          <w:rFonts w:eastAsia="Times New Roman"/>
          <w:b/>
          <w:bCs/>
          <w:color w:val="000000"/>
          <w:rtl/>
        </w:rPr>
      </w:pPr>
      <w:r w:rsidRPr="002F21C7">
        <w:rPr>
          <w:rFonts w:eastAsia="Times New Roman"/>
          <w:color w:val="000000"/>
          <w:rtl/>
        </w:rPr>
        <w:t>11.يجب الانتباه لإعادة الاغطية إلى العبوات بعد الانتهاء وعدم تركها مفتوحة على طاولات العمل، ويمنع منعاً باتاً ترك الأوعية الحاوية على مواد قابلة للاشتعال أو الانفجار عرضة للحرارة أو النار</w:t>
      </w:r>
      <w:r w:rsidRPr="002F21C7">
        <w:rPr>
          <w:rFonts w:eastAsia="Times New Roman"/>
          <w:color w:val="000000"/>
        </w:rPr>
        <w:t>.</w:t>
      </w:r>
    </w:p>
    <w:p w14:paraId="65D576A2"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t>12.يرتب وينظف المكان بعد الانتهاء من العمل وتغسل جميع الأدوات ويتم التخلص من الفضلات وبقايا المواد وفق إرشادات المشرف المخبري، ولا تعاد الكميات المتبقية من المحاليل أو المواد الصلبة إلى العبوات الرئيسية بعد الانتهاء من العمل</w:t>
      </w:r>
      <w:r w:rsidRPr="002F21C7">
        <w:rPr>
          <w:rFonts w:eastAsia="Times New Roman"/>
          <w:color w:val="000000"/>
        </w:rPr>
        <w:t>.</w:t>
      </w:r>
    </w:p>
    <w:p w14:paraId="49351C96" w14:textId="77777777" w:rsidR="00753D81" w:rsidRPr="002F21C7" w:rsidRDefault="00753D81" w:rsidP="00753D81">
      <w:pPr>
        <w:spacing w:after="120" w:line="264" w:lineRule="auto"/>
        <w:jc w:val="both"/>
        <w:rPr>
          <w:rFonts w:eastAsia="Times New Roman"/>
          <w:color w:val="000000"/>
          <w:rtl/>
        </w:rPr>
      </w:pPr>
      <w:r w:rsidRPr="002F21C7">
        <w:rPr>
          <w:rFonts w:eastAsia="Times New Roman"/>
          <w:color w:val="000000"/>
          <w:rtl/>
        </w:rPr>
        <w:lastRenderedPageBreak/>
        <w:t>13.تسجل المشاهدات ونتائج التجارب سواء كانت إيجابية أو سلبية على دفتر خاص</w:t>
      </w:r>
      <w:r w:rsidRPr="002F21C7">
        <w:rPr>
          <w:rFonts w:eastAsia="Times New Roman"/>
          <w:color w:val="000000"/>
        </w:rPr>
        <w:t>.</w:t>
      </w:r>
    </w:p>
    <w:p w14:paraId="15968A60" w14:textId="77777777" w:rsidR="00753D81" w:rsidRPr="002F21C7" w:rsidRDefault="00753D81" w:rsidP="00753D81">
      <w:pPr>
        <w:spacing w:after="120" w:line="264" w:lineRule="auto"/>
        <w:jc w:val="both"/>
        <w:rPr>
          <w:rFonts w:eastAsia="Times New Roman"/>
          <w:b/>
          <w:bCs/>
          <w:color w:val="000000"/>
          <w:rtl/>
        </w:rPr>
      </w:pPr>
      <w:r w:rsidRPr="002F21C7">
        <w:rPr>
          <w:rFonts w:eastAsiaTheme="majorEastAsia"/>
          <w:b/>
          <w:bCs/>
          <w:color w:val="2F5496" w:themeColor="accent1" w:themeShade="BF"/>
          <w:kern w:val="2"/>
          <w:sz w:val="26"/>
          <w:szCs w:val="26"/>
          <w:lang w:bidi="ar-SY"/>
          <w14:ligatures w14:val="standardContextual"/>
        </w:rPr>
        <w:br/>
      </w:r>
      <w:r w:rsidRPr="002F21C7">
        <w:rPr>
          <w:rFonts w:eastAsiaTheme="majorEastAsia"/>
          <w:b/>
          <w:bCs/>
          <w:color w:val="2F5496" w:themeColor="accent1" w:themeShade="BF"/>
          <w:kern w:val="2"/>
          <w:sz w:val="26"/>
          <w:szCs w:val="26"/>
          <w:rtl/>
          <w:lang w:bidi="ar-SY"/>
          <w14:ligatures w14:val="standardContextual"/>
        </w:rPr>
        <w:t>الإسعافات الأولية للإصابات الشائعة في المخابر الكيميائية</w:t>
      </w:r>
      <w:r w:rsidRPr="002F21C7">
        <w:rPr>
          <w:rFonts w:eastAsia="Times New Roman"/>
          <w:b/>
          <w:bCs/>
          <w:color w:val="000000"/>
        </w:rPr>
        <w:t>:</w:t>
      </w:r>
    </w:p>
    <w:p w14:paraId="4B473D39" w14:textId="77777777" w:rsidR="00753D81" w:rsidRPr="002F21C7" w:rsidRDefault="00753D81" w:rsidP="00753D81">
      <w:pPr>
        <w:spacing w:after="120" w:line="264" w:lineRule="auto"/>
        <w:jc w:val="both"/>
        <w:rPr>
          <w:rFonts w:eastAsiaTheme="majorEastAsia"/>
          <w:b/>
          <w:bCs/>
          <w:color w:val="2F5496" w:themeColor="accent1" w:themeShade="BF"/>
          <w:kern w:val="2"/>
          <w:sz w:val="26"/>
          <w:szCs w:val="26"/>
          <w:rtl/>
          <w:lang w:bidi="ar-SY"/>
          <w14:ligatures w14:val="standardContextual"/>
        </w:rPr>
      </w:pPr>
      <w:r w:rsidRPr="002F21C7">
        <w:rPr>
          <w:rFonts w:eastAsiaTheme="majorEastAsia"/>
          <w:b/>
          <w:bCs/>
          <w:color w:val="2F5496" w:themeColor="accent1" w:themeShade="BF"/>
          <w:kern w:val="2"/>
          <w:sz w:val="26"/>
          <w:szCs w:val="26"/>
          <w:rtl/>
          <w:lang w:bidi="ar-SY"/>
          <w14:ligatures w14:val="standardContextual"/>
        </w:rPr>
        <w:t>1.الحروق</w:t>
      </w:r>
      <w:r w:rsidRPr="002F21C7">
        <w:rPr>
          <w:rFonts w:eastAsiaTheme="majorEastAsia"/>
          <w:b/>
          <w:bCs/>
          <w:color w:val="2F5496" w:themeColor="accent1" w:themeShade="BF"/>
          <w:kern w:val="2"/>
          <w:sz w:val="26"/>
          <w:szCs w:val="26"/>
          <w:lang w:bidi="ar-SY"/>
          <w14:ligatures w14:val="standardContextual"/>
        </w:rPr>
        <w:t>:</w:t>
      </w:r>
    </w:p>
    <w:p w14:paraId="07047DF7" w14:textId="77777777" w:rsidR="00753D81" w:rsidRPr="002F21C7" w:rsidRDefault="00753D81" w:rsidP="002F21C7">
      <w:pPr>
        <w:numPr>
          <w:ilvl w:val="0"/>
          <w:numId w:val="3"/>
        </w:numPr>
        <w:spacing w:after="120" w:line="264" w:lineRule="auto"/>
        <w:ind w:left="288"/>
        <w:contextualSpacing/>
        <w:jc w:val="both"/>
        <w:rPr>
          <w:rFonts w:eastAsia="Times New Roman"/>
          <w:color w:val="000000"/>
          <w:rtl/>
        </w:rPr>
      </w:pPr>
      <w:r w:rsidRPr="002F21C7">
        <w:rPr>
          <w:rFonts w:eastAsia="Times New Roman"/>
          <w:color w:val="000000"/>
          <w:rtl/>
        </w:rPr>
        <w:t>الناجمة عن الحرارة: بحالة حروق الدرجة الأولى يغسل مكان الحرق جيداً بالماء ويطهر بالكحول الإيتيلي</w:t>
      </w:r>
      <w:r w:rsidRPr="002F21C7">
        <w:rPr>
          <w:rFonts w:eastAsia="Times New Roman"/>
          <w:color w:val="000000"/>
        </w:rPr>
        <w:br/>
      </w:r>
      <w:r w:rsidRPr="002F21C7">
        <w:rPr>
          <w:rFonts w:eastAsia="Times New Roman"/>
          <w:color w:val="000000"/>
          <w:rtl/>
        </w:rPr>
        <w:t>ثم يغطى بضماد عقيم، أما في حروق الدرجات المتقدمة ينقل المصاب إلى أقرب مركز طبي</w:t>
      </w:r>
      <w:r w:rsidRPr="002F21C7">
        <w:rPr>
          <w:rFonts w:eastAsia="Times New Roman"/>
          <w:color w:val="000000"/>
        </w:rPr>
        <w:t>.</w:t>
      </w:r>
    </w:p>
    <w:p w14:paraId="5261206E" w14:textId="77777777" w:rsidR="00753D81" w:rsidRPr="002F21C7" w:rsidRDefault="00753D81" w:rsidP="002F21C7">
      <w:pPr>
        <w:numPr>
          <w:ilvl w:val="0"/>
          <w:numId w:val="3"/>
        </w:numPr>
        <w:spacing w:after="120" w:line="264" w:lineRule="auto"/>
        <w:ind w:left="288"/>
        <w:contextualSpacing/>
        <w:jc w:val="both"/>
        <w:rPr>
          <w:rFonts w:eastAsia="Times New Roman"/>
          <w:color w:val="000000"/>
          <w:rtl/>
        </w:rPr>
      </w:pPr>
      <w:r w:rsidRPr="002F21C7">
        <w:rPr>
          <w:rFonts w:eastAsia="Times New Roman"/>
          <w:color w:val="000000"/>
          <w:rtl/>
        </w:rPr>
        <w:t>الحروق الناجمة عن الحموض والقلويات: تغسل أولاً بشكل جيد بالماء ثم يغسل مكان الإصابة بمحلول</w:t>
      </w:r>
      <w:r w:rsidRPr="002F21C7">
        <w:rPr>
          <w:rFonts w:eastAsia="Times New Roman"/>
          <w:color w:val="000000"/>
        </w:rPr>
        <w:br/>
      </w:r>
      <w:r w:rsidRPr="002F21C7">
        <w:rPr>
          <w:rFonts w:eastAsia="Times New Roman"/>
          <w:color w:val="000000"/>
          <w:rtl/>
        </w:rPr>
        <w:t xml:space="preserve">بيكربونات الصوديوم </w:t>
      </w:r>
      <w:r w:rsidRPr="002F21C7">
        <w:rPr>
          <w:rFonts w:eastAsia="Times New Roman"/>
          <w:color w:val="000000"/>
        </w:rPr>
        <w:t xml:space="preserve"> %1</w:t>
      </w:r>
      <w:r w:rsidRPr="002F21C7">
        <w:rPr>
          <w:rFonts w:eastAsia="Times New Roman"/>
          <w:color w:val="000000"/>
          <w:rtl/>
        </w:rPr>
        <w:t>في حال الحموض، أما في حال القلويات تغسل الإصابة بمحلول حمض البوريك</w:t>
      </w:r>
      <w:r w:rsidRPr="002F21C7">
        <w:rPr>
          <w:rFonts w:eastAsia="Times New Roman"/>
          <w:color w:val="000000"/>
        </w:rPr>
        <w:br/>
        <w:t>%2</w:t>
      </w:r>
      <w:r w:rsidRPr="002F21C7">
        <w:rPr>
          <w:rFonts w:eastAsia="Times New Roman"/>
          <w:color w:val="000000"/>
          <w:rtl/>
        </w:rPr>
        <w:t xml:space="preserve"> أو حمض الخل </w:t>
      </w:r>
      <w:r w:rsidRPr="002F21C7">
        <w:rPr>
          <w:rFonts w:eastAsia="Times New Roman"/>
          <w:color w:val="000000"/>
        </w:rPr>
        <w:t xml:space="preserve"> %2</w:t>
      </w:r>
      <w:r w:rsidRPr="002F21C7">
        <w:rPr>
          <w:rFonts w:eastAsia="Times New Roman"/>
          <w:color w:val="000000"/>
          <w:rtl/>
        </w:rPr>
        <w:t>أو حمض الليمون</w:t>
      </w:r>
      <w:r w:rsidRPr="002F21C7">
        <w:rPr>
          <w:rFonts w:eastAsia="Times New Roman"/>
          <w:color w:val="000000"/>
        </w:rPr>
        <w:t>.</w:t>
      </w:r>
    </w:p>
    <w:p w14:paraId="73260289" w14:textId="77777777" w:rsidR="00753D81" w:rsidRPr="002F21C7" w:rsidRDefault="00753D81" w:rsidP="002F21C7">
      <w:pPr>
        <w:numPr>
          <w:ilvl w:val="0"/>
          <w:numId w:val="3"/>
        </w:numPr>
        <w:spacing w:after="120" w:line="264" w:lineRule="auto"/>
        <w:ind w:left="288"/>
        <w:contextualSpacing/>
        <w:jc w:val="both"/>
        <w:rPr>
          <w:rFonts w:eastAsia="Times New Roman"/>
          <w:color w:val="000000"/>
          <w:rtl/>
        </w:rPr>
      </w:pPr>
      <w:r w:rsidRPr="002F21C7">
        <w:rPr>
          <w:rFonts w:eastAsia="Times New Roman"/>
          <w:color w:val="000000"/>
          <w:rtl/>
        </w:rPr>
        <w:t>الحروق الناجمة عن البروم: يغسل مكان الحرق بالماء جيداً ثم يدهن بالغليسيرين أو الفازلين أو مرهم</w:t>
      </w:r>
      <w:r w:rsidRPr="002F21C7">
        <w:rPr>
          <w:rFonts w:eastAsia="Times New Roman"/>
          <w:color w:val="000000"/>
        </w:rPr>
        <w:br/>
      </w:r>
      <w:r w:rsidRPr="002F21C7">
        <w:rPr>
          <w:rFonts w:eastAsia="Times New Roman"/>
          <w:color w:val="000000"/>
          <w:rtl/>
        </w:rPr>
        <w:t>مضاد للحروق</w:t>
      </w:r>
      <w:r w:rsidRPr="002F21C7">
        <w:rPr>
          <w:rFonts w:eastAsia="Times New Roman"/>
          <w:color w:val="000000"/>
        </w:rPr>
        <w:t>.</w:t>
      </w:r>
    </w:p>
    <w:p w14:paraId="143C3529" w14:textId="77777777" w:rsidR="00753D81" w:rsidRPr="002F21C7" w:rsidRDefault="00753D81" w:rsidP="00753D81">
      <w:pPr>
        <w:numPr>
          <w:ilvl w:val="0"/>
          <w:numId w:val="3"/>
        </w:numPr>
        <w:spacing w:after="120" w:line="264" w:lineRule="auto"/>
        <w:ind w:left="288"/>
        <w:contextualSpacing/>
        <w:jc w:val="both"/>
        <w:rPr>
          <w:rFonts w:eastAsia="Times New Roman"/>
          <w:color w:val="000000"/>
          <w:rtl/>
        </w:rPr>
      </w:pPr>
      <w:r w:rsidRPr="002F21C7">
        <w:rPr>
          <w:rFonts w:eastAsia="Times New Roman"/>
          <w:color w:val="000000"/>
          <w:rtl/>
        </w:rPr>
        <w:t>الحروق الناجمة عن الفينول: يدهن مكان الحرق بالغليسيرين حتى عودة الجلد للونه الطبيعي ثم يغسل جيدًا بالماء ويضمد بشاش عقيم مبلل بالغليسيرين</w:t>
      </w:r>
      <w:r w:rsidRPr="002F21C7">
        <w:rPr>
          <w:rFonts w:eastAsia="Times New Roman"/>
          <w:color w:val="000000"/>
        </w:rPr>
        <w:t>.</w:t>
      </w:r>
    </w:p>
    <w:p w14:paraId="22977314" w14:textId="48DDAAD7" w:rsidR="00753D81" w:rsidRPr="002F21C7" w:rsidRDefault="00753D81" w:rsidP="006F5093">
      <w:pPr>
        <w:spacing w:after="120" w:line="264" w:lineRule="auto"/>
        <w:jc w:val="both"/>
        <w:rPr>
          <w:rFonts w:eastAsia="Times New Roman"/>
          <w:b/>
          <w:bCs/>
          <w:color w:val="000000"/>
          <w:rtl/>
        </w:rPr>
      </w:pPr>
      <w:r w:rsidRPr="002F21C7">
        <w:rPr>
          <w:rFonts w:eastAsia="Times New Roman"/>
          <w:b/>
          <w:bCs/>
          <w:color w:val="000000"/>
        </w:rPr>
        <w:t>.</w:t>
      </w:r>
      <w:r w:rsidRPr="002F21C7">
        <w:rPr>
          <w:rFonts w:eastAsiaTheme="majorEastAsia"/>
          <w:b/>
          <w:bCs/>
          <w:color w:val="2F5496" w:themeColor="accent1" w:themeShade="BF"/>
          <w:kern w:val="2"/>
          <w:sz w:val="26"/>
          <w:szCs w:val="26"/>
          <w:lang w:bidi="ar-SY"/>
          <w14:ligatures w14:val="standardContextual"/>
        </w:rPr>
        <w:t>2</w:t>
      </w:r>
      <w:r w:rsidRPr="002F21C7">
        <w:rPr>
          <w:rFonts w:eastAsiaTheme="majorEastAsia"/>
          <w:b/>
          <w:bCs/>
          <w:color w:val="2F5496" w:themeColor="accent1" w:themeShade="BF"/>
          <w:kern w:val="2"/>
          <w:sz w:val="26"/>
          <w:szCs w:val="26"/>
          <w:rtl/>
          <w:lang w:bidi="ar-SY"/>
          <w14:ligatures w14:val="standardContextual"/>
        </w:rPr>
        <w:t>الجروح</w:t>
      </w:r>
      <w:r w:rsidRPr="002F21C7">
        <w:rPr>
          <w:rFonts w:eastAsiaTheme="majorEastAsia"/>
          <w:b/>
          <w:bCs/>
          <w:color w:val="2F5496" w:themeColor="accent1" w:themeShade="BF"/>
          <w:kern w:val="2"/>
          <w:sz w:val="26"/>
          <w:szCs w:val="26"/>
          <w:lang w:bidi="ar-SY"/>
          <w14:ligatures w14:val="standardContextual"/>
        </w:rPr>
        <w:t>:</w:t>
      </w:r>
      <w:r w:rsidRPr="002F21C7">
        <w:rPr>
          <w:rFonts w:eastAsia="Times New Roman"/>
          <w:b/>
          <w:bCs/>
          <w:color w:val="000000"/>
        </w:rPr>
        <w:br/>
      </w:r>
      <w:r w:rsidRPr="002F21C7">
        <w:rPr>
          <w:rFonts w:eastAsia="Times New Roman"/>
          <w:color w:val="000000"/>
          <w:rtl/>
        </w:rPr>
        <w:t>ينظف مكان الجرح جيداً، ويتم التخلص من بقايا الزجاج بحالة جروح الأدوات الزجاجية وذلك باستخدام ملقط أو بواسطة تيار الماء القوي، ثم يطهر الجرح باليود أو الكحول ويغطى بضماد عقيم</w:t>
      </w:r>
      <w:r w:rsidRPr="002F21C7">
        <w:rPr>
          <w:rFonts w:eastAsia="Times New Roman"/>
          <w:color w:val="000000"/>
        </w:rPr>
        <w:t>.</w:t>
      </w:r>
    </w:p>
    <w:p w14:paraId="27267ACB" w14:textId="77777777" w:rsidR="00753D81" w:rsidRPr="002F21C7" w:rsidRDefault="00753D81" w:rsidP="00753D81">
      <w:pPr>
        <w:spacing w:after="120" w:line="264" w:lineRule="auto"/>
        <w:jc w:val="both"/>
        <w:rPr>
          <w:rFonts w:eastAsia="Times New Roman"/>
          <w:b/>
          <w:bCs/>
          <w:color w:val="000000"/>
          <w:rtl/>
        </w:rPr>
      </w:pPr>
      <w:r w:rsidRPr="002F21C7">
        <w:rPr>
          <w:rFonts w:eastAsia="Times New Roman"/>
          <w:b/>
          <w:bCs/>
          <w:color w:val="000000"/>
        </w:rPr>
        <w:t>.</w:t>
      </w:r>
      <w:r w:rsidRPr="002F21C7">
        <w:rPr>
          <w:rFonts w:eastAsiaTheme="majorEastAsia"/>
          <w:b/>
          <w:bCs/>
          <w:color w:val="2F5496" w:themeColor="accent1" w:themeShade="BF"/>
          <w:kern w:val="2"/>
          <w:sz w:val="26"/>
          <w:szCs w:val="26"/>
          <w:lang w:bidi="ar-SY"/>
          <w14:ligatures w14:val="standardContextual"/>
        </w:rPr>
        <w:t>3</w:t>
      </w:r>
      <w:r w:rsidRPr="002F21C7">
        <w:rPr>
          <w:rFonts w:eastAsiaTheme="majorEastAsia"/>
          <w:b/>
          <w:bCs/>
          <w:color w:val="2F5496" w:themeColor="accent1" w:themeShade="BF"/>
          <w:kern w:val="2"/>
          <w:sz w:val="26"/>
          <w:szCs w:val="26"/>
          <w:rtl/>
          <w:lang w:bidi="ar-SY"/>
          <w14:ligatures w14:val="standardContextual"/>
        </w:rPr>
        <w:t>إصابات العين</w:t>
      </w:r>
      <w:r w:rsidRPr="002F21C7">
        <w:rPr>
          <w:rFonts w:eastAsia="Times New Roman"/>
          <w:b/>
          <w:bCs/>
          <w:color w:val="000000"/>
        </w:rPr>
        <w:t>:</w:t>
      </w:r>
    </w:p>
    <w:p w14:paraId="0A417DE3" w14:textId="77777777" w:rsidR="00753D81" w:rsidRPr="002F21C7" w:rsidRDefault="00753D81" w:rsidP="006F5093">
      <w:pPr>
        <w:spacing w:after="120" w:line="264" w:lineRule="auto"/>
        <w:rPr>
          <w:rFonts w:eastAsia="Times New Roman"/>
          <w:color w:val="000000"/>
          <w:rtl/>
        </w:rPr>
      </w:pPr>
      <w:r w:rsidRPr="002F21C7">
        <w:rPr>
          <w:rFonts w:eastAsia="Times New Roman"/>
          <w:color w:val="000000"/>
          <w:rtl/>
        </w:rPr>
        <w:t>في حال تلوث العين بمواد كيميائية تغسل جيداً بكميات كبيرة من الماء، وفي حالة الحموض يتم غسلها بمحلول بيكربونات الصوديوم، أما في حال التلوث بالقلويات فتغسل العين بمحلول حمض البور</w:t>
      </w:r>
      <w:r w:rsidRPr="002F21C7">
        <w:rPr>
          <w:rFonts w:eastAsia="Times New Roman"/>
          <w:color w:val="000000"/>
        </w:rPr>
        <w:t>.</w:t>
      </w:r>
    </w:p>
    <w:p w14:paraId="16D06F27" w14:textId="7AEFE5ED" w:rsidR="00753D81" w:rsidRPr="002F21C7" w:rsidRDefault="00753D81" w:rsidP="006F5093">
      <w:pPr>
        <w:spacing w:after="120" w:line="264" w:lineRule="auto"/>
        <w:rPr>
          <w:rFonts w:eastAsia="Times New Roman"/>
          <w:color w:val="000000"/>
          <w:rtl/>
        </w:rPr>
      </w:pPr>
      <w:r w:rsidRPr="002F21C7">
        <w:rPr>
          <w:rFonts w:eastAsia="Times New Roman"/>
          <w:color w:val="000000"/>
          <w:rtl/>
        </w:rPr>
        <w:t>في حال تناثر شظايا زجاجية في العين تتم إزالتها بملقط خاص وتغسل العين بالماء جيداً لحين الوصول إلى الطبيب المختص</w:t>
      </w:r>
      <w:r w:rsidRPr="002F21C7">
        <w:rPr>
          <w:rFonts w:eastAsia="Times New Roman"/>
          <w:color w:val="000000"/>
        </w:rPr>
        <w:t>.</w:t>
      </w:r>
      <w:r w:rsidRPr="002F21C7">
        <w:rPr>
          <w:rFonts w:eastAsia="Times New Roman"/>
          <w:color w:val="000000"/>
        </w:rPr>
        <w:br/>
      </w:r>
      <w:r w:rsidRPr="002F21C7">
        <w:rPr>
          <w:rFonts w:eastAsia="Times New Roman"/>
          <w:b/>
          <w:bCs/>
          <w:color w:val="000000"/>
        </w:rPr>
        <w:t>.</w:t>
      </w:r>
      <w:r w:rsidRPr="002F21C7">
        <w:rPr>
          <w:rFonts w:eastAsiaTheme="majorEastAsia"/>
          <w:b/>
          <w:bCs/>
          <w:color w:val="2F5496" w:themeColor="accent1" w:themeShade="BF"/>
          <w:kern w:val="2"/>
          <w:sz w:val="26"/>
          <w:szCs w:val="26"/>
          <w:lang w:bidi="ar-SY"/>
          <w14:ligatures w14:val="standardContextual"/>
        </w:rPr>
        <w:t>4</w:t>
      </w:r>
      <w:r w:rsidRPr="002F21C7">
        <w:rPr>
          <w:rFonts w:eastAsiaTheme="majorEastAsia"/>
          <w:b/>
          <w:bCs/>
          <w:color w:val="2F5496" w:themeColor="accent1" w:themeShade="BF"/>
          <w:kern w:val="2"/>
          <w:sz w:val="26"/>
          <w:szCs w:val="26"/>
          <w:rtl/>
          <w:lang w:bidi="ar-SY"/>
          <w14:ligatures w14:val="standardContextual"/>
        </w:rPr>
        <w:t>ابتلاع المواد الكيميائية</w:t>
      </w:r>
      <w:r w:rsidRPr="002F21C7">
        <w:rPr>
          <w:rFonts w:eastAsiaTheme="majorEastAsia"/>
          <w:b/>
          <w:bCs/>
          <w:color w:val="2F5496" w:themeColor="accent1" w:themeShade="BF"/>
          <w:kern w:val="2"/>
          <w:sz w:val="26"/>
          <w:szCs w:val="26"/>
          <w:lang w:bidi="ar-SY"/>
          <w14:ligatures w14:val="standardContextual"/>
        </w:rPr>
        <w:t>:</w:t>
      </w:r>
    </w:p>
    <w:p w14:paraId="5544EBFB" w14:textId="77777777" w:rsidR="00753D81" w:rsidRDefault="00753D81" w:rsidP="00753D81">
      <w:pPr>
        <w:spacing w:after="120" w:line="264" w:lineRule="auto"/>
        <w:jc w:val="both"/>
        <w:rPr>
          <w:rFonts w:eastAsia="Times New Roman"/>
          <w:color w:val="000000"/>
          <w:rtl/>
          <w:lang w:bidi="ar-SY"/>
        </w:rPr>
      </w:pPr>
      <w:r w:rsidRPr="002F21C7">
        <w:rPr>
          <w:rFonts w:eastAsia="Times New Roman"/>
          <w:color w:val="000000"/>
          <w:rtl/>
        </w:rPr>
        <w:t>في حال ابتلاع حمض يخفف بشرب كميات كبيرة من الماء مصحوباً بمحلول بيكربونات الصوديوم، أما في حال ابتلاع قلوي فيخفف بالماء مضافاً إليه الخل أو حمض الليمون أو عصير البرتقال. أما في حال ابتلاع مواد سامة أخرى فيعطى المصاب مقيئاً بأسرع وقت ممكن لمنع امتصاص تلك المواد في المعدة، وينقل إلى أقرب مركز طبي</w:t>
      </w:r>
      <w:r w:rsidRPr="002F21C7">
        <w:rPr>
          <w:rFonts w:eastAsia="Times New Roman"/>
          <w:color w:val="000000"/>
          <w:rtl/>
          <w:lang w:bidi="ar-SY"/>
        </w:rPr>
        <w:t>.</w:t>
      </w:r>
    </w:p>
    <w:p w14:paraId="165E78A6" w14:textId="3713FCCD" w:rsidR="00022EF2" w:rsidRPr="003344D1" w:rsidRDefault="00022EF2" w:rsidP="00022EF2">
      <w:pPr>
        <w:spacing w:after="120" w:line="264" w:lineRule="auto"/>
        <w:jc w:val="center"/>
        <w:rPr>
          <w:rFonts w:eastAsia="Times New Roman"/>
          <w:b/>
          <w:bCs/>
          <w:color w:val="000000"/>
          <w:u w:val="single"/>
          <w:rtl/>
          <w:lang w:bidi="ar-SY"/>
        </w:rPr>
      </w:pPr>
      <w:r w:rsidRPr="003344D1">
        <w:rPr>
          <w:rFonts w:eastAsia="Times New Roman" w:hint="cs"/>
          <w:color w:val="000000"/>
          <w:u w:val="single"/>
          <w:rtl/>
          <w:lang w:bidi="ar-SY"/>
        </w:rPr>
        <w:t>انتهت الجلسة</w:t>
      </w:r>
    </w:p>
    <w:p w14:paraId="195BA46F" w14:textId="131D2B28" w:rsidR="00AC0DE1" w:rsidRDefault="00AC0DE1" w:rsidP="00837AF0">
      <w:pPr>
        <w:bidi w:val="0"/>
        <w:spacing w:after="120" w:line="264" w:lineRule="auto"/>
        <w:jc w:val="both"/>
        <w:rPr>
          <w:rFonts w:eastAsiaTheme="minorEastAsia"/>
          <w:rtl/>
          <w:lang w:bidi="ar-SY"/>
        </w:rPr>
      </w:pPr>
    </w:p>
    <w:p w14:paraId="7D88B117" w14:textId="77777777" w:rsidR="00022EF2" w:rsidRDefault="00022EF2" w:rsidP="00022EF2">
      <w:pPr>
        <w:bidi w:val="0"/>
        <w:spacing w:after="120" w:line="264" w:lineRule="auto"/>
        <w:jc w:val="both"/>
        <w:rPr>
          <w:rFonts w:eastAsiaTheme="minorEastAsia"/>
          <w:rtl/>
          <w:lang w:bidi="ar-SY"/>
        </w:rPr>
      </w:pPr>
    </w:p>
    <w:p w14:paraId="6CBC8F09" w14:textId="77777777" w:rsidR="00022EF2" w:rsidRDefault="00022EF2" w:rsidP="00022EF2">
      <w:pPr>
        <w:bidi w:val="0"/>
        <w:spacing w:after="120" w:line="264" w:lineRule="auto"/>
        <w:jc w:val="both"/>
        <w:rPr>
          <w:rFonts w:eastAsiaTheme="minorEastAsia"/>
          <w:rtl/>
          <w:lang w:bidi="ar-SY"/>
        </w:rPr>
      </w:pPr>
    </w:p>
    <w:p w14:paraId="56449A0D" w14:textId="0CEECC48" w:rsidR="00022EF2" w:rsidRPr="002F21C7" w:rsidRDefault="00022EF2" w:rsidP="00022EF2">
      <w:pPr>
        <w:bidi w:val="0"/>
        <w:spacing w:after="120" w:line="264" w:lineRule="auto"/>
        <w:jc w:val="both"/>
        <w:rPr>
          <w:rFonts w:eastAsiaTheme="minorEastAsia"/>
          <w:lang w:bidi="ar-SY"/>
        </w:rPr>
      </w:pPr>
      <w:r>
        <w:rPr>
          <w:rFonts w:eastAsiaTheme="minorEastAsia" w:hint="cs"/>
          <w:rtl/>
          <w:lang w:bidi="ar-SY"/>
        </w:rPr>
        <w:t xml:space="preserve">إعداد : د خلود سفكونة                       </w:t>
      </w:r>
    </w:p>
    <w:sectPr w:rsidR="00022EF2" w:rsidRPr="002F21C7"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FF80B" w14:textId="77777777" w:rsidR="00A349D3" w:rsidRDefault="00A349D3" w:rsidP="00D05624">
      <w:r>
        <w:separator/>
      </w:r>
    </w:p>
  </w:endnote>
  <w:endnote w:type="continuationSeparator" w:id="0">
    <w:p w14:paraId="36A8C06D" w14:textId="77777777" w:rsidR="00A349D3" w:rsidRDefault="00A349D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Arial"/>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GE Dinar Two">
    <w:altName w:val="Times New Roman"/>
    <w:panose1 w:val="00000000000000000000"/>
    <w:charset w:val="B2"/>
    <w:family w:val="roman"/>
    <w:notTrueType/>
    <w:pitch w:val="variable"/>
    <w:sig w:usb0="80002003" w:usb1="80000100" w:usb2="00000028" w:usb3="00000000" w:csb0="00000040" w:csb1="00000000"/>
  </w:font>
  <w:font w:name="Simplified Arabic">
    <w:altName w:val="Times New Roman"/>
    <w:panose1 w:val="02020603050405020304"/>
    <w:charset w:val="00"/>
    <w:family w:val="roman"/>
    <w:pitch w:val="variable"/>
    <w:sig w:usb0="00002003" w:usb1="80000000" w:usb2="00000008" w:usb3="00000000" w:csb0="00000041"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8F32" w14:textId="3D8F9E83" w:rsidR="00E03332" w:rsidRDefault="00E03332" w:rsidP="00D05624">
    <w:pPr>
      <w:pStyle w:val="Footer"/>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Footer"/>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Footer"/>
      <w:tabs>
        <w:tab w:val="clear" w:pos="4680"/>
        <w:tab w:val="clear" w:pos="9360"/>
        <w:tab w:val="left" w:pos="5621"/>
      </w:tabs>
    </w:pPr>
  </w:p>
  <w:tbl>
    <w:tblPr>
      <w:tblStyle w:val="TableGrid"/>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Pr="003E1627">
            <w:rPr>
              <w:color w:val="000000"/>
              <w:sz w:val="22"/>
              <w:szCs w:val="22"/>
            </w:rPr>
            <w:t>3</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Pr="003E1627">
            <w:rPr>
              <w:color w:val="000000"/>
              <w:sz w:val="22"/>
              <w:szCs w:val="22"/>
            </w:rPr>
            <w:t>11</w:t>
          </w:r>
          <w:r w:rsidRPr="003E1627">
            <w:rPr>
              <w:color w:val="000000"/>
              <w:sz w:val="22"/>
              <w:szCs w:val="22"/>
            </w:rPr>
            <w:fldChar w:fldCharType="end"/>
          </w:r>
        </w:p>
      </w:tc>
    </w:tr>
  </w:tbl>
  <w:p w14:paraId="452CF6F7" w14:textId="7D006893" w:rsidR="00E03332" w:rsidRPr="00E03332" w:rsidRDefault="00E03332" w:rsidP="00855B13">
    <w:pPr>
      <w:pStyle w:val="Footer"/>
      <w:jc w:val="center"/>
      <w:rPr>
        <w:rFonts w:ascii="Aller" w:hAnsi="Aller"/>
        <w:color w:val="0070C0"/>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DE9B" w14:textId="77777777" w:rsidR="00A349D3" w:rsidRDefault="00A349D3" w:rsidP="00D05624">
      <w:r>
        <w:separator/>
      </w:r>
    </w:p>
  </w:footnote>
  <w:footnote w:type="continuationSeparator" w:id="0">
    <w:p w14:paraId="17EF9D72" w14:textId="77777777" w:rsidR="00A349D3" w:rsidRDefault="00A349D3" w:rsidP="00D0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A2E3" w14:textId="5E1B1224" w:rsidR="00E926F6" w:rsidRPr="005B4EF4" w:rsidRDefault="005B4EF4" w:rsidP="005B4EF4">
    <w:pPr>
      <w:pStyle w:val="Header"/>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Content>
        <w:r w:rsidR="0000000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1032"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4060"/>
    <w:multiLevelType w:val="hybridMultilevel"/>
    <w:tmpl w:val="ADDAF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5746413">
    <w:abstractNumId w:val="1"/>
  </w:num>
  <w:num w:numId="2" w16cid:durableId="119960233">
    <w:abstractNumId w:val="2"/>
  </w:num>
  <w:num w:numId="3" w16cid:durableId="108051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0"/>
    <w:rsid w:val="00022EF2"/>
    <w:rsid w:val="00034868"/>
    <w:rsid w:val="00047F26"/>
    <w:rsid w:val="000611D0"/>
    <w:rsid w:val="000B6526"/>
    <w:rsid w:val="00137DC0"/>
    <w:rsid w:val="001579D9"/>
    <w:rsid w:val="00167CE4"/>
    <w:rsid w:val="0017222F"/>
    <w:rsid w:val="00187BB0"/>
    <w:rsid w:val="002F21C7"/>
    <w:rsid w:val="00300C7F"/>
    <w:rsid w:val="003344D1"/>
    <w:rsid w:val="003E1627"/>
    <w:rsid w:val="00446A4B"/>
    <w:rsid w:val="0049227E"/>
    <w:rsid w:val="005B4EF4"/>
    <w:rsid w:val="005F696B"/>
    <w:rsid w:val="00664A51"/>
    <w:rsid w:val="006E55D8"/>
    <w:rsid w:val="006F5093"/>
    <w:rsid w:val="00701B29"/>
    <w:rsid w:val="00727C27"/>
    <w:rsid w:val="00753D81"/>
    <w:rsid w:val="0083168D"/>
    <w:rsid w:val="00837AF0"/>
    <w:rsid w:val="00847301"/>
    <w:rsid w:val="00855B13"/>
    <w:rsid w:val="00913659"/>
    <w:rsid w:val="009C0A33"/>
    <w:rsid w:val="00A349D3"/>
    <w:rsid w:val="00A6175F"/>
    <w:rsid w:val="00AC0DE1"/>
    <w:rsid w:val="00B43926"/>
    <w:rsid w:val="00BB2074"/>
    <w:rsid w:val="00C451AF"/>
    <w:rsid w:val="00CA5791"/>
    <w:rsid w:val="00D05624"/>
    <w:rsid w:val="00D62DD4"/>
    <w:rsid w:val="00D8744D"/>
    <w:rsid w:val="00DA5A58"/>
    <w:rsid w:val="00DA5EDB"/>
    <w:rsid w:val="00DC2F28"/>
    <w:rsid w:val="00E03332"/>
    <w:rsid w:val="00E10D7E"/>
    <w:rsid w:val="00E926F6"/>
    <w:rsid w:val="00EE29E3"/>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24"/>
    <w:pPr>
      <w:bidi/>
    </w:pPr>
    <w:rPr>
      <w:rFonts w:ascii="Sakkal Majalla" w:hAnsi="Sakkal Majalla" w:cs="Sakkal Majalla"/>
      <w:sz w:val="24"/>
      <w:szCs w:val="24"/>
    </w:rPr>
  </w:style>
  <w:style w:type="paragraph" w:styleId="Heading1">
    <w:name w:val="heading 1"/>
    <w:basedOn w:val="Normal"/>
    <w:next w:val="Normal"/>
    <w:link w:val="Heading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Heading2">
    <w:name w:val="heading 2"/>
    <w:basedOn w:val="Normal"/>
    <w:next w:val="Normal"/>
    <w:link w:val="Heading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Heading3">
    <w:name w:val="heading 3"/>
    <w:basedOn w:val="Normal"/>
    <w:next w:val="Normal"/>
    <w:link w:val="Heading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F6"/>
  </w:style>
  <w:style w:type="paragraph" w:styleId="Footer">
    <w:name w:val="footer"/>
    <w:basedOn w:val="Normal"/>
    <w:link w:val="FooterChar"/>
    <w:uiPriority w:val="99"/>
    <w:unhideWhenUsed/>
    <w:rsid w:val="00E9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F6"/>
  </w:style>
  <w:style w:type="character" w:styleId="Hyperlink">
    <w:name w:val="Hyperlink"/>
    <w:basedOn w:val="DefaultParagraphFont"/>
    <w:uiPriority w:val="99"/>
    <w:unhideWhenUsed/>
    <w:rsid w:val="00E03332"/>
    <w:rPr>
      <w:color w:val="0563C1" w:themeColor="hyperlink"/>
      <w:u w:val="single"/>
    </w:rPr>
  </w:style>
  <w:style w:type="character" w:styleId="UnresolvedMention">
    <w:name w:val="Unresolved Mention"/>
    <w:basedOn w:val="DefaultParagraphFont"/>
    <w:uiPriority w:val="99"/>
    <w:semiHidden/>
    <w:unhideWhenUsed/>
    <w:rsid w:val="00E03332"/>
    <w:rPr>
      <w:color w:val="605E5C"/>
      <w:shd w:val="clear" w:color="auto" w:fill="E1DFDD"/>
    </w:rPr>
  </w:style>
  <w:style w:type="character" w:customStyle="1" w:styleId="Heading1Char">
    <w:name w:val="Heading 1 Char"/>
    <w:basedOn w:val="DefaultParagraphFont"/>
    <w:link w:val="Heading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Heading2Char">
    <w:name w:val="Heading 2 Char"/>
    <w:basedOn w:val="DefaultParagraphFont"/>
    <w:link w:val="Heading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Title">
    <w:name w:val="Title"/>
    <w:basedOn w:val="Normal"/>
    <w:link w:val="TitleChar"/>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TitleChar">
    <w:name w:val="Title Char"/>
    <w:basedOn w:val="DefaultParagraphFont"/>
    <w:link w:val="Title"/>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ListParagraph">
    <w:name w:val="List Paragraph"/>
    <w:basedOn w:val="Normal"/>
    <w:uiPriority w:val="34"/>
    <w:qFormat/>
    <w:rsid w:val="00847301"/>
    <w:pPr>
      <w:ind w:left="720"/>
      <w:contextualSpacing/>
    </w:pPr>
  </w:style>
  <w:style w:type="table" w:styleId="TableGrid">
    <w:name w:val="Table Grid"/>
    <w:basedOn w:val="TableNormal"/>
    <w:uiPriority w:val="59"/>
    <w:rsid w:val="0084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47301"/>
    <w:pPr>
      <w:tabs>
        <w:tab w:val="right" w:leader="dot" w:pos="9016"/>
      </w:tabs>
      <w:spacing w:after="100"/>
    </w:pPr>
    <w:rPr>
      <w:kern w:val="2"/>
      <w:lang w:bidi="ar-SY"/>
      <w14:ligatures w14:val="standardContextual"/>
    </w:rPr>
  </w:style>
  <w:style w:type="paragraph" w:styleId="TOCHeading">
    <w:name w:val="TOC Heading"/>
    <w:basedOn w:val="Heading1"/>
    <w:next w:val="Normal"/>
    <w:uiPriority w:val="39"/>
    <w:unhideWhenUsed/>
    <w:qFormat/>
    <w:rsid w:val="00847301"/>
    <w:pPr>
      <w:bidi w:val="0"/>
      <w:outlineLvl w:val="9"/>
    </w:pPr>
    <w:rPr>
      <w:rFonts w:cstheme="majorBidi"/>
      <w:b w:val="0"/>
      <w:bCs w:val="0"/>
      <w:kern w:val="0"/>
      <w:lang w:bidi="ar-SA"/>
      <w14:ligatures w14:val="none"/>
    </w:rPr>
  </w:style>
  <w:style w:type="paragraph" w:styleId="TOC2">
    <w:name w:val="toc 2"/>
    <w:basedOn w:val="Normal"/>
    <w:next w:val="Normal"/>
    <w:autoRedefine/>
    <w:uiPriority w:val="39"/>
    <w:unhideWhenUsed/>
    <w:rsid w:val="00847301"/>
    <w:pPr>
      <w:spacing w:after="100"/>
      <w:ind w:left="220"/>
    </w:pPr>
    <w:rPr>
      <w:rFonts w:eastAsiaTheme="minorEastAsia" w:cs="Times New Roman"/>
    </w:rPr>
  </w:style>
  <w:style w:type="character" w:customStyle="1" w:styleId="Heading3Char">
    <w:name w:val="Heading 3 Char"/>
    <w:basedOn w:val="DefaultParagraphFont"/>
    <w:link w:val="Heading3"/>
    <w:uiPriority w:val="9"/>
    <w:rsid w:val="00847301"/>
    <w:rPr>
      <w:rFonts w:asciiTheme="majorHAnsi" w:eastAsiaTheme="majorEastAsia" w:hAnsiTheme="majorHAnsi" w:cs="GE Dinar Two"/>
      <w:color w:val="1F3763" w:themeColor="accent1" w:themeShade="7F"/>
      <w:sz w:val="24"/>
      <w:szCs w:val="24"/>
    </w:rPr>
  </w:style>
  <w:style w:type="paragraph" w:styleId="TOC3">
    <w:name w:val="toc 3"/>
    <w:basedOn w:val="Normal"/>
    <w:next w:val="Normal"/>
    <w:autoRedefine/>
    <w:uiPriority w:val="39"/>
    <w:unhideWhenUsed/>
    <w:rsid w:val="00847301"/>
    <w:pPr>
      <w:spacing w:after="100"/>
      <w:ind w:left="440"/>
    </w:pPr>
  </w:style>
  <w:style w:type="character" w:styleId="FollowedHyperlink">
    <w:name w:val="FollowedHyperlink"/>
    <w:basedOn w:val="DefaultParagraphFont"/>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BEA7-987C-E149-AA4A-FEB471A4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Pharmacy Lecturer</cp:lastModifiedBy>
  <cp:revision>10</cp:revision>
  <cp:lastPrinted>2023-05-10T06:47:00Z</cp:lastPrinted>
  <dcterms:created xsi:type="dcterms:W3CDTF">2023-05-03T09:14:00Z</dcterms:created>
  <dcterms:modified xsi:type="dcterms:W3CDTF">2023-05-14T11:42:00Z</dcterms:modified>
</cp:coreProperties>
</file>