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18BF334" w14:textId="4F8BC3E1" w:rsidR="00446A4B" w:rsidRDefault="00446A4B" w:rsidP="004C4E07">
      <w:pPr>
        <w:pStyle w:val="Heading1"/>
        <w:rPr>
          <w:rFonts w:ascii="Sakkal Majalla" w:hAnsi="Sakkal Majalla" w:cs="Sakkal Majalla"/>
          <w:rtl/>
        </w:rPr>
      </w:pPr>
      <w:r w:rsidRPr="00446A4B">
        <w:rPr>
          <w:rFonts w:ascii="Sakkal Majalla" w:hAnsi="Sakkal Majalla" w:cs="Sakkal Majalla"/>
          <w:rtl/>
        </w:rPr>
        <w:t>كلية:</w:t>
      </w:r>
      <w:r w:rsidR="004D06C8">
        <w:rPr>
          <w:rFonts w:ascii="Sakkal Majalla" w:hAnsi="Sakkal Majalla" w:cs="Sakkal Majalla" w:hint="cs"/>
          <w:rtl/>
        </w:rPr>
        <w:t xml:space="preserve"> الصيدلة</w:t>
      </w:r>
    </w:p>
    <w:p w14:paraId="2E6F761C" w14:textId="3246DA67"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D06C8">
        <w:rPr>
          <w:rFonts w:ascii="Sakkal Majalla" w:hAnsi="Sakkal Majalla" w:cs="Sakkal Majalla" w:hint="cs"/>
          <w:rtl/>
        </w:rPr>
        <w:t>الكيمياء الحيوية2</w:t>
      </w:r>
    </w:p>
    <w:p w14:paraId="7B8DC8B7" w14:textId="0B97D7BE"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A51C9E">
        <w:rPr>
          <w:rFonts w:ascii="Sakkal Majalla" w:hAnsi="Sakkal Majalla" w:cs="Sakkal Majalla" w:hint="cs"/>
          <w:rtl/>
        </w:rPr>
        <w:t>2</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1C5DD0AD" w:rsidR="009C0A33" w:rsidRPr="004D06C8" w:rsidRDefault="004D06C8" w:rsidP="00A51C9E">
      <w:pPr>
        <w:pStyle w:val="Heading1"/>
        <w:rPr>
          <w:rFonts w:ascii="Sakkal Majalla" w:hAnsi="Sakkal Majalla" w:cs="Sakkal Majalla"/>
        </w:rPr>
      </w:pPr>
      <w:r w:rsidRPr="004D06C8">
        <w:rPr>
          <w:rFonts w:ascii="Sakkal Majalla" w:hAnsi="Sakkal Majalla" w:cs="Sakkal Majalla"/>
          <w:rtl/>
        </w:rPr>
        <w:t>الم</w:t>
      </w:r>
      <w:r w:rsidR="00A51C9E">
        <w:rPr>
          <w:rFonts w:ascii="Sakkal Majalla" w:hAnsi="Sakkal Majalla" w:cs="Sakkal Majalla" w:hint="cs"/>
          <w:rtl/>
        </w:rPr>
        <w:t>عايرات اللونية الكهرضوئية</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D5C9260" w:rsidR="00EE29E3" w:rsidRPr="00EE29E3" w:rsidRDefault="00EE29E3" w:rsidP="00EE29E3">
      <w:pPr>
        <w:rPr>
          <w:b/>
          <w:bCs/>
        </w:rPr>
      </w:pPr>
      <w:r w:rsidRPr="00EE29E3">
        <w:rPr>
          <w:rFonts w:hint="cs"/>
          <w:b/>
          <w:bCs/>
          <w:rtl/>
        </w:rPr>
        <w:t>الفصل الدراسي</w:t>
      </w:r>
      <w:r w:rsidR="004C4E07">
        <w:rPr>
          <w:rFonts w:hint="cs"/>
          <w:b/>
          <w:bCs/>
          <w:rtl/>
          <w:lang w:bidi="ar-SY"/>
        </w:rPr>
        <w:t xml:space="preserve"> الثاني</w:t>
      </w:r>
      <w:r w:rsidRPr="00EE29E3">
        <w:rPr>
          <w:rFonts w:hint="cs"/>
          <w:b/>
          <w:bCs/>
          <w:rtl/>
        </w:rPr>
        <w:t xml:space="preserve">                                                                                                                                                            العام الدراسي</w:t>
      </w:r>
      <w:r w:rsidR="004C4E07">
        <w:rPr>
          <w:b/>
          <w:bCs/>
        </w:rPr>
        <w:t>2022-2023</w:t>
      </w:r>
    </w:p>
    <w:p w14:paraId="50AC9B77" w14:textId="77777777" w:rsidR="004C4E07" w:rsidRDefault="004C4E07" w:rsidP="00BB2074">
      <w:pPr>
        <w:pStyle w:val="Title"/>
        <w:rPr>
          <w:rFonts w:ascii="Sakkal Majalla" w:hAnsi="Sakkal Majalla" w:cs="Sakkal Majalla"/>
        </w:rPr>
      </w:pPr>
    </w:p>
    <w:p w14:paraId="61BA6A3D" w14:textId="6DD2F276"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21042956" w:rsidR="00855B13" w:rsidRPr="00446A4B" w:rsidRDefault="00FD6383" w:rsidP="00D05624">
            <w:pPr>
              <w:pStyle w:val="Title"/>
              <w:rPr>
                <w:rFonts w:ascii="Sakkal Majalla" w:hAnsi="Sakkal Majalla" w:cs="Sakkal Majalla"/>
                <w:rtl/>
              </w:rPr>
            </w:pPr>
            <w:r>
              <w:rPr>
                <w:rFonts w:ascii="Sakkal Majalla" w:hAnsi="Sakkal Majalla" w:cs="Sakkal Majalla" w:hint="cs"/>
                <w:rtl/>
              </w:rPr>
              <w:t>الغاية من الجلسة</w:t>
            </w:r>
          </w:p>
        </w:tc>
        <w:tc>
          <w:tcPr>
            <w:tcW w:w="1553" w:type="dxa"/>
          </w:tcPr>
          <w:p w14:paraId="781F1A5E" w14:textId="42B60E79"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2EFAB533" w:rsidR="00855B13" w:rsidRPr="00446A4B" w:rsidRDefault="00AB411C" w:rsidP="00D05624">
            <w:pPr>
              <w:pStyle w:val="Title"/>
              <w:rPr>
                <w:rFonts w:ascii="Sakkal Majalla" w:hAnsi="Sakkal Majalla" w:cs="Sakkal Majalla"/>
                <w:rtl/>
              </w:rPr>
            </w:pPr>
            <w:r>
              <w:rPr>
                <w:rFonts w:ascii="Sakkal Majalla" w:hAnsi="Sakkal Majalla" w:cs="Sakkal Majalla" w:hint="cs"/>
                <w:rtl/>
              </w:rPr>
              <w:t>مبدأ المعايرات اللونية الكهرضوئية</w:t>
            </w:r>
          </w:p>
        </w:tc>
        <w:tc>
          <w:tcPr>
            <w:tcW w:w="1553" w:type="dxa"/>
          </w:tcPr>
          <w:p w14:paraId="2F9FBC90" w14:textId="4993D52E"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2F90987B" w:rsidR="00855B13" w:rsidRPr="00446A4B" w:rsidRDefault="00AB411C" w:rsidP="00D05624">
            <w:pPr>
              <w:pStyle w:val="Title"/>
              <w:rPr>
                <w:rFonts w:ascii="Sakkal Majalla" w:hAnsi="Sakkal Majalla" w:cs="Sakkal Majalla"/>
                <w:rtl/>
              </w:rPr>
            </w:pPr>
            <w:r>
              <w:rPr>
                <w:rFonts w:ascii="Sakkal Majalla" w:hAnsi="Sakkal Majalla" w:cs="Sakkal Majalla" w:hint="cs"/>
                <w:rtl/>
              </w:rPr>
              <w:t>مقياس الضوء</w:t>
            </w:r>
          </w:p>
        </w:tc>
        <w:tc>
          <w:tcPr>
            <w:tcW w:w="1553" w:type="dxa"/>
          </w:tcPr>
          <w:p w14:paraId="1511773D" w14:textId="31C44DB1"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0E59E46A" w:rsidR="00855B13" w:rsidRPr="00446A4B" w:rsidRDefault="00AB411C" w:rsidP="00D05624">
            <w:pPr>
              <w:pStyle w:val="Title"/>
              <w:rPr>
                <w:rFonts w:ascii="Sakkal Majalla" w:hAnsi="Sakkal Majalla" w:cs="Sakkal Majalla"/>
                <w:rtl/>
              </w:rPr>
            </w:pPr>
            <w:r>
              <w:rPr>
                <w:rFonts w:ascii="Sakkal Majalla" w:hAnsi="Sakkal Majalla" w:cs="Sakkal Majalla" w:hint="cs"/>
                <w:rtl/>
              </w:rPr>
              <w:t>طول موجة الامتصاص الأعظمي</w:t>
            </w:r>
          </w:p>
        </w:tc>
        <w:tc>
          <w:tcPr>
            <w:tcW w:w="1553" w:type="dxa"/>
          </w:tcPr>
          <w:p w14:paraId="52E59292" w14:textId="17ECD1A6" w:rsidR="00855B13" w:rsidRPr="00446A4B" w:rsidRDefault="00AB411C" w:rsidP="00D05624">
            <w:pPr>
              <w:pStyle w:val="Title"/>
              <w:rPr>
                <w:rFonts w:ascii="Sakkal Majalla" w:hAnsi="Sakkal Majalla" w:cs="Sakkal Majalla"/>
                <w:rtl/>
              </w:rPr>
            </w:pPr>
            <w:r>
              <w:rPr>
                <w:rFonts w:ascii="Sakkal Majalla" w:hAnsi="Sakkal Majalla" w:cs="Sakkal Majalla" w:hint="cs"/>
                <w:rtl/>
              </w:rPr>
              <w:t>5</w:t>
            </w:r>
          </w:p>
        </w:tc>
      </w:tr>
      <w:tr w:rsidR="00AB411C" w:rsidRPr="00446A4B" w14:paraId="46FB7F40" w14:textId="77777777" w:rsidTr="00855B13">
        <w:tc>
          <w:tcPr>
            <w:tcW w:w="7463" w:type="dxa"/>
          </w:tcPr>
          <w:p w14:paraId="1C34DDAD" w14:textId="6EF55ECE" w:rsidR="00AB411C" w:rsidRDefault="00AB411C" w:rsidP="00D05624">
            <w:pPr>
              <w:pStyle w:val="Title"/>
              <w:rPr>
                <w:rFonts w:ascii="Sakkal Majalla" w:hAnsi="Sakkal Majalla" w:cs="Sakkal Majalla"/>
                <w:rtl/>
              </w:rPr>
            </w:pPr>
            <w:r>
              <w:rPr>
                <w:rFonts w:ascii="Sakkal Majalla" w:hAnsi="Sakkal Majalla" w:cs="Sakkal Majalla" w:hint="cs"/>
                <w:rtl/>
              </w:rPr>
              <w:t>استخدام محلول عياري</w:t>
            </w:r>
          </w:p>
        </w:tc>
        <w:tc>
          <w:tcPr>
            <w:tcW w:w="1553" w:type="dxa"/>
          </w:tcPr>
          <w:p w14:paraId="33290041" w14:textId="1AF9FDA8" w:rsidR="00AB411C" w:rsidRDefault="00AB411C" w:rsidP="00D05624">
            <w:pPr>
              <w:pStyle w:val="Title"/>
              <w:rPr>
                <w:rFonts w:ascii="Sakkal Majalla" w:hAnsi="Sakkal Majalla" w:cs="Sakkal Majalla"/>
                <w:rtl/>
              </w:rPr>
            </w:pPr>
            <w:r>
              <w:rPr>
                <w:rFonts w:ascii="Sakkal Majalla" w:hAnsi="Sakkal Majalla" w:cs="Sakkal Majalla" w:hint="cs"/>
                <w:rtl/>
              </w:rPr>
              <w:t>5</w:t>
            </w:r>
          </w:p>
        </w:tc>
      </w:tr>
      <w:tr w:rsidR="00AB411C" w:rsidRPr="00446A4B" w14:paraId="62BC9F5F" w14:textId="77777777" w:rsidTr="00855B13">
        <w:tc>
          <w:tcPr>
            <w:tcW w:w="7463" w:type="dxa"/>
          </w:tcPr>
          <w:p w14:paraId="394D9896" w14:textId="1D1CB0C4" w:rsidR="00AB411C" w:rsidRDefault="00AB411C" w:rsidP="00D05624">
            <w:pPr>
              <w:pStyle w:val="Title"/>
              <w:rPr>
                <w:rFonts w:ascii="Sakkal Majalla" w:hAnsi="Sakkal Majalla" w:cs="Sakkal Majalla"/>
                <w:rtl/>
              </w:rPr>
            </w:pPr>
            <w:r>
              <w:rPr>
                <w:rFonts w:ascii="Sakkal Majalla" w:hAnsi="Sakkal Majalla" w:cs="Sakkal Majalla" w:hint="cs"/>
                <w:rtl/>
              </w:rPr>
              <w:t>القسم العملي</w:t>
            </w:r>
            <w:r w:rsidR="00D444C3">
              <w:rPr>
                <w:rFonts w:ascii="Sakkal Majalla" w:hAnsi="Sakkal Majalla" w:cs="Sakkal Majalla" w:hint="cs"/>
                <w:rtl/>
              </w:rPr>
              <w:t>:</w:t>
            </w:r>
            <w:r>
              <w:rPr>
                <w:rFonts w:ascii="Sakkal Majalla" w:hAnsi="Sakkal Majalla" w:cs="Sakkal Majalla" w:hint="cs"/>
                <w:rtl/>
              </w:rPr>
              <w:t xml:space="preserve"> تحديد طول موجة الامتصاص الأعظمي لمعقد ملون</w:t>
            </w:r>
          </w:p>
        </w:tc>
        <w:tc>
          <w:tcPr>
            <w:tcW w:w="1553" w:type="dxa"/>
          </w:tcPr>
          <w:p w14:paraId="70E38044" w14:textId="34DBA60D" w:rsidR="00AB411C" w:rsidRDefault="00AB411C" w:rsidP="00D05624">
            <w:pPr>
              <w:pStyle w:val="Title"/>
              <w:rPr>
                <w:rFonts w:ascii="Sakkal Majalla" w:hAnsi="Sakkal Majalla" w:cs="Sakkal Majalla"/>
                <w:rtl/>
              </w:rPr>
            </w:pPr>
            <w:r>
              <w:rPr>
                <w:rFonts w:ascii="Sakkal Majalla" w:hAnsi="Sakkal Majalla" w:cs="Sakkal Majalla" w:hint="cs"/>
                <w:rtl/>
              </w:rPr>
              <w:t>6</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3520E56F" w:rsidR="00847301" w:rsidRPr="00446A4B" w:rsidRDefault="004D06C8" w:rsidP="00D05624">
      <w:pPr>
        <w:rPr>
          <w:rtl/>
          <w:lang w:bidi="ar-SY"/>
        </w:rPr>
      </w:pPr>
      <w:r>
        <w:rPr>
          <w:rFonts w:hint="cs"/>
          <w:rtl/>
        </w:rPr>
        <w:t>التعريف</w:t>
      </w:r>
      <w:r w:rsidR="00A51C9E">
        <w:rPr>
          <w:rFonts w:hint="cs"/>
          <w:rtl/>
        </w:rPr>
        <w:t xml:space="preserve"> بالمعايرات اللونية الكهرضوئية وتحديد طول موجة الامتصاص الأعظمي لمعقد ملون.</w:t>
      </w:r>
    </w:p>
    <w:p w14:paraId="06747879" w14:textId="77777777" w:rsidR="00A51C9E" w:rsidRPr="00A51C9E" w:rsidRDefault="00A51C9E" w:rsidP="00A51C9E">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A51C9E">
        <w:rPr>
          <w:rFonts w:eastAsiaTheme="minorEastAsia"/>
          <w:b/>
          <w:bCs/>
          <w:color w:val="1F3864" w:themeColor="accent1" w:themeShade="80"/>
          <w:sz w:val="26"/>
          <w:szCs w:val="26"/>
          <w:rtl/>
          <w:lang w:bidi="ar-SY"/>
        </w:rPr>
        <w:t>مبدأ المعايرات اللونية الكهرضوئية:</w:t>
      </w:r>
    </w:p>
    <w:p w14:paraId="3D3E730E" w14:textId="77777777" w:rsidR="00A51C9E" w:rsidRPr="00A51C9E" w:rsidRDefault="00A51C9E" w:rsidP="00A51C9E">
      <w:pPr>
        <w:spacing w:after="120" w:line="276" w:lineRule="auto"/>
        <w:ind w:left="-279" w:right="-284"/>
        <w:jc w:val="both"/>
        <w:rPr>
          <w:rFonts w:eastAsiaTheme="minorEastAsia"/>
          <w:lang w:bidi="ar-SY"/>
        </w:rPr>
      </w:pPr>
      <w:r w:rsidRPr="00A51C9E">
        <w:rPr>
          <w:rFonts w:eastAsiaTheme="minorEastAsia"/>
          <w:rtl/>
          <w:lang w:bidi="ar-SY"/>
        </w:rPr>
        <w:t>تعتبر المعايرات اللونية الكهرضوئية من أكثر الطرق التحليلية استخداماً في مجال الكيمياء الحيوية، وتعد هذه التقنية مناسبة للكشف والمعايرة الكمية بحساسية عالية للكميات الزهيدة من المواد في العينات الحيوية لذلك فقد حلت هذه المعايرات محل المعايرات الوزنية والحجمية التقليدية.</w:t>
      </w:r>
    </w:p>
    <w:p w14:paraId="1FD0A34D" w14:textId="77777777" w:rsidR="00A51C9E" w:rsidRPr="00A51C9E" w:rsidRDefault="00A51C9E" w:rsidP="00A51C9E">
      <w:pPr>
        <w:spacing w:after="120" w:line="276" w:lineRule="auto"/>
        <w:ind w:left="-279" w:right="-284"/>
        <w:jc w:val="both"/>
        <w:rPr>
          <w:rFonts w:eastAsiaTheme="minorEastAsia"/>
          <w:lang w:bidi="ar-SY"/>
        </w:rPr>
      </w:pPr>
      <w:r w:rsidRPr="00A51C9E">
        <w:rPr>
          <w:rFonts w:eastAsiaTheme="minorEastAsia"/>
          <w:rtl/>
          <w:lang w:bidi="ar-SY"/>
        </w:rPr>
        <w:t xml:space="preserve">تعتمد هذه الطرق على قانون بيير لامبرت </w:t>
      </w:r>
      <w:r w:rsidRPr="00A51C9E">
        <w:rPr>
          <w:rFonts w:eastAsiaTheme="minorEastAsia"/>
          <w:lang w:bidi="ar-SY"/>
        </w:rPr>
        <w:t>Beer-Lambert Law</w:t>
      </w:r>
      <w:r w:rsidRPr="00A51C9E">
        <w:rPr>
          <w:rFonts w:eastAsiaTheme="minorEastAsia"/>
          <w:rtl/>
          <w:lang w:bidi="ar-SY"/>
        </w:rPr>
        <w:t xml:space="preserve"> الذي ينص على أن تركيز المادة المنحلة في محلول ما يتناسب طردياً مع كمية الضوء الممتص عند تسليط شعاع ضوئي وحيد اللون بطول موجة واحد على المحلول. انطلاقاً من هذه العلاقة كانت المعايرات اللونية الكهرضوئية التي تعتمد على تفاعل كيميائي </w:t>
      </w:r>
      <w:r w:rsidRPr="00A51C9E">
        <w:rPr>
          <w:rFonts w:eastAsiaTheme="minorEastAsia"/>
          <w:b/>
          <w:bCs/>
          <w:rtl/>
          <w:lang w:bidi="ar-SY"/>
        </w:rPr>
        <w:t>نوعي</w:t>
      </w:r>
      <w:r w:rsidRPr="00A51C9E">
        <w:rPr>
          <w:rFonts w:eastAsiaTheme="minorEastAsia"/>
          <w:rtl/>
          <w:lang w:bidi="ar-SY"/>
        </w:rPr>
        <w:t xml:space="preserve"> بين المادة المراد معايرتها وكاشف خاص يؤدي لتشكيل معقد لوني، وتتناسب امتصاصية هذا المعقد اللوني للضوء في طول موجة محدد من الطيف الكهرطيسي مع تركيز المادة المراد معايرتها في المحلول، ويتم قياس قيم الامتصاصية للضوء بواسطة جهاز خاص يعرف بالمقياس الضوئي </w:t>
      </w:r>
      <w:r w:rsidRPr="00A51C9E">
        <w:rPr>
          <w:rFonts w:eastAsiaTheme="minorEastAsia"/>
          <w:lang w:bidi="ar-SY"/>
        </w:rPr>
        <w:t>Photometer</w:t>
      </w:r>
      <w:r w:rsidRPr="00A51C9E">
        <w:rPr>
          <w:rFonts w:eastAsiaTheme="minorEastAsia"/>
          <w:rtl/>
          <w:lang w:bidi="ar-SY"/>
        </w:rPr>
        <w:t xml:space="preserve"> أو المقياس الطيفي الضوئي </w:t>
      </w:r>
      <w:r w:rsidRPr="00A51C9E">
        <w:rPr>
          <w:rFonts w:eastAsiaTheme="minorEastAsia"/>
          <w:lang w:bidi="ar-SY"/>
        </w:rPr>
        <w:t>Spectrophotometer</w:t>
      </w:r>
      <w:r w:rsidRPr="00A51C9E">
        <w:rPr>
          <w:rFonts w:eastAsiaTheme="minorEastAsia"/>
          <w:rtl/>
          <w:lang w:bidi="ar-SY"/>
        </w:rPr>
        <w:t>.</w:t>
      </w:r>
    </w:p>
    <w:p w14:paraId="221571D4" w14:textId="77777777" w:rsidR="00A51C9E" w:rsidRPr="00A51C9E" w:rsidRDefault="00A51C9E" w:rsidP="00A51C9E">
      <w:pPr>
        <w:spacing w:after="120" w:line="276" w:lineRule="auto"/>
        <w:ind w:left="-279" w:right="-284"/>
        <w:jc w:val="both"/>
        <w:rPr>
          <w:rFonts w:eastAsiaTheme="minorEastAsia"/>
          <w:lang w:bidi="ar-SY"/>
        </w:rPr>
      </w:pPr>
      <w:r w:rsidRPr="00A51C9E">
        <w:rPr>
          <w:rFonts w:eastAsiaTheme="minorEastAsia"/>
          <w:rtl/>
          <w:lang w:bidi="ar-SY"/>
        </w:rPr>
        <w:t>يجب أن تتمتع المعقدات اللونية المقاس امتصاصيتها بالخصائص التالية:</w:t>
      </w:r>
    </w:p>
    <w:p w14:paraId="2BBC95FA" w14:textId="77777777" w:rsidR="00A51C9E" w:rsidRPr="00A51C9E" w:rsidRDefault="00A51C9E" w:rsidP="00A51C9E">
      <w:pPr>
        <w:spacing w:after="120" w:line="276" w:lineRule="auto"/>
        <w:ind w:left="288" w:right="-284" w:hanging="426"/>
        <w:jc w:val="both"/>
        <w:rPr>
          <w:rFonts w:eastAsiaTheme="minorEastAsia"/>
          <w:lang w:bidi="ar-SY"/>
        </w:rPr>
      </w:pPr>
      <w:r w:rsidRPr="00A51C9E">
        <w:rPr>
          <w:rFonts w:eastAsiaTheme="minorEastAsia"/>
          <w:rtl/>
          <w:lang w:bidi="ar-SY"/>
        </w:rPr>
        <w:t>1- النوعية: خاصة بالمادة المطلوب معايرتها دون حدوث تداخل في الامتصاصية من قبل المواد الاخرى المرافقة الموجودة في العينة الحيوية. لذلك فإن</w:t>
      </w:r>
      <w:r w:rsidRPr="00A51C9E">
        <w:rPr>
          <w:rFonts w:eastAsiaTheme="minorEastAsia"/>
          <w:kern w:val="2"/>
          <w:rtl/>
          <w:lang w:bidi="ar-SY"/>
        </w:rPr>
        <w:t xml:space="preserve"> </w:t>
      </w:r>
      <w:r w:rsidRPr="00A51C9E">
        <w:rPr>
          <w:rFonts w:eastAsiaTheme="minorEastAsia"/>
          <w:rtl/>
          <w:lang w:bidi="ar-SY"/>
        </w:rPr>
        <w:t xml:space="preserve">أغلب التفاعلات المفضلة في هذه الأيام هي تفاعلات أنزيمية تعتمد على أنزيمات تستهدف المواد المقاسة حصراً دون غيرها. </w:t>
      </w:r>
    </w:p>
    <w:p w14:paraId="7CD267FD" w14:textId="77777777" w:rsidR="00A51C9E" w:rsidRPr="00A51C9E" w:rsidRDefault="00A51C9E" w:rsidP="00A51C9E">
      <w:pPr>
        <w:spacing w:after="120" w:line="276" w:lineRule="auto"/>
        <w:ind w:left="288" w:right="-284" w:hanging="426"/>
        <w:jc w:val="both"/>
        <w:rPr>
          <w:rFonts w:eastAsiaTheme="minorEastAsia"/>
          <w:rtl/>
          <w:lang w:bidi="ar-SY"/>
        </w:rPr>
      </w:pPr>
      <w:r w:rsidRPr="00A51C9E">
        <w:rPr>
          <w:rFonts w:eastAsiaTheme="minorEastAsia"/>
          <w:rtl/>
          <w:lang w:bidi="ar-SY"/>
        </w:rPr>
        <w:t>2- الثبات: أي أن يكون اللون غير متأثر بالعوامل الجوية مثل الحرارة والرطوبة وثابت لفترة زمنية كافية لإجراء القياس بشكل دقيق.</w:t>
      </w:r>
    </w:p>
    <w:p w14:paraId="2EEC62C0" w14:textId="77777777" w:rsidR="00A51C9E" w:rsidRPr="00A51C9E" w:rsidRDefault="00A51C9E" w:rsidP="00A51C9E">
      <w:pPr>
        <w:spacing w:after="120" w:line="276" w:lineRule="auto"/>
        <w:ind w:left="288" w:right="-284" w:hanging="426"/>
        <w:jc w:val="both"/>
        <w:rPr>
          <w:rFonts w:eastAsiaTheme="minorEastAsia"/>
          <w:rtl/>
          <w:lang w:bidi="ar-SY"/>
        </w:rPr>
      </w:pPr>
      <w:bookmarkStart w:id="1" w:name="_Hlk527448883"/>
      <w:r w:rsidRPr="00A51C9E">
        <w:rPr>
          <w:rFonts w:eastAsiaTheme="minorEastAsia"/>
          <w:rtl/>
          <w:lang w:bidi="ar-SY"/>
        </w:rPr>
        <w:t xml:space="preserve">3- أن تكون تراكيزها مخففة بحيث تكون قيم الامتصاصية </w:t>
      </w:r>
      <w:r w:rsidRPr="00A51C9E">
        <w:rPr>
          <w:rFonts w:eastAsiaTheme="minorEastAsia"/>
          <w:lang w:bidi="ar-SY"/>
        </w:rPr>
        <w:t>A</w:t>
      </w:r>
      <w:r w:rsidRPr="00A51C9E">
        <w:rPr>
          <w:rFonts w:eastAsiaTheme="minorEastAsia"/>
          <w:rtl/>
          <w:lang w:bidi="ar-SY"/>
        </w:rPr>
        <w:t xml:space="preserve"> محصورة بين 0-1 للحفاظ </w:t>
      </w:r>
      <w:bookmarkEnd w:id="1"/>
      <w:r w:rsidRPr="00A51C9E">
        <w:rPr>
          <w:rFonts w:eastAsiaTheme="minorEastAsia"/>
          <w:rtl/>
          <w:lang w:bidi="ar-SY"/>
        </w:rPr>
        <w:t>على العلاقة الخطية وتحقيق قانون بيير لامبرت (القيم المثالية للامتصاصية تكون عادة بين 0.2 و 0.8).</w:t>
      </w:r>
    </w:p>
    <w:p w14:paraId="6AC74394" w14:textId="77777777" w:rsidR="00A51C9E" w:rsidRPr="00A51C9E" w:rsidRDefault="00A51C9E" w:rsidP="00A51C9E">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A51C9E">
        <w:rPr>
          <w:rFonts w:eastAsiaTheme="minorEastAsia"/>
          <w:b/>
          <w:bCs/>
          <w:color w:val="1F3864" w:themeColor="accent1" w:themeShade="80"/>
          <w:sz w:val="26"/>
          <w:szCs w:val="26"/>
          <w:rtl/>
          <w:lang w:bidi="ar-SY"/>
        </w:rPr>
        <w:t xml:space="preserve">مقياس الضوء </w:t>
      </w:r>
      <w:r w:rsidRPr="00A51C9E">
        <w:rPr>
          <w:rFonts w:eastAsiaTheme="minorEastAsia"/>
          <w:b/>
          <w:bCs/>
          <w:color w:val="1F3864" w:themeColor="accent1" w:themeShade="80"/>
          <w:sz w:val="26"/>
          <w:szCs w:val="26"/>
          <w:lang w:bidi="ar-SY"/>
        </w:rPr>
        <w:t>Photometer</w:t>
      </w:r>
      <w:r w:rsidRPr="00A51C9E">
        <w:rPr>
          <w:rFonts w:eastAsiaTheme="minorEastAsia"/>
          <w:b/>
          <w:bCs/>
          <w:color w:val="1F3864" w:themeColor="accent1" w:themeShade="80"/>
          <w:sz w:val="26"/>
          <w:szCs w:val="26"/>
          <w:rtl/>
          <w:lang w:bidi="ar-SY"/>
        </w:rPr>
        <w:t>:</w:t>
      </w:r>
    </w:p>
    <w:p w14:paraId="797884AA" w14:textId="77777777" w:rsidR="00A51C9E" w:rsidRPr="00A51C9E" w:rsidRDefault="00A51C9E" w:rsidP="00A51C9E">
      <w:pPr>
        <w:spacing w:after="120" w:line="276" w:lineRule="auto"/>
        <w:ind w:left="-279" w:right="-284"/>
        <w:jc w:val="both"/>
        <w:rPr>
          <w:rFonts w:eastAsiaTheme="minorEastAsia"/>
          <w:rtl/>
          <w:lang w:bidi="ar-SY"/>
        </w:rPr>
      </w:pPr>
      <w:r w:rsidRPr="00A51C9E">
        <w:rPr>
          <w:rFonts w:eastAsiaTheme="minorEastAsia"/>
          <w:rtl/>
          <w:lang w:bidi="ar-SY"/>
        </w:rPr>
        <w:t xml:space="preserve">هو عبارة عن جهاز مخصص لقياس الامتصاصية الضوئية. يقوم هذا الجهاز بتسليط حزمة ضوئية بطول موجة محدد من الطيف الكهرطيسي مباشرة على العينة السائلة الموضوعة في كوفيت مناسبة ومن ثم قياس شدة الضوء النافذ عبر تلك العينة وبالتالي تقدير شدة الضوء الممتص. </w:t>
      </w:r>
    </w:p>
    <w:p w14:paraId="1F86705C" w14:textId="77777777" w:rsidR="00A51C9E" w:rsidRPr="00A51C9E" w:rsidRDefault="00A51C9E" w:rsidP="00A51C9E">
      <w:pPr>
        <w:spacing w:after="120" w:line="276" w:lineRule="auto"/>
        <w:ind w:left="-279" w:right="-284"/>
        <w:jc w:val="both"/>
        <w:rPr>
          <w:rFonts w:eastAsiaTheme="minorEastAsia"/>
          <w:rtl/>
          <w:lang w:bidi="ar-SY"/>
        </w:rPr>
      </w:pPr>
      <w:r w:rsidRPr="00A51C9E">
        <w:rPr>
          <w:rFonts w:eastAsiaTheme="minorEastAsia"/>
          <w:rtl/>
          <w:lang w:bidi="ar-SY"/>
        </w:rPr>
        <w:t xml:space="preserve">تختلف مقاييس الضوء عن بعضها في مجال أطوال الموجات التي يمكن القياس بها من الطيف الكهرطيسي وبناء على ذلك اصطلح على تسمية المقاييس التي تقيس الامتصاصية في مجال الضوء المرئي فقط </w:t>
      </w:r>
      <w:r w:rsidRPr="00A51C9E">
        <w:rPr>
          <w:rFonts w:eastAsiaTheme="minorEastAsia"/>
          <w:lang w:bidi="ar-SY"/>
        </w:rPr>
        <w:t xml:space="preserve">visible light </w:t>
      </w:r>
      <w:r w:rsidRPr="00A51C9E">
        <w:rPr>
          <w:rFonts w:eastAsiaTheme="minorEastAsia"/>
          <w:rtl/>
          <w:lang w:bidi="ar-SY"/>
        </w:rPr>
        <w:t xml:space="preserve"> (400-</w:t>
      </w:r>
      <w:r w:rsidRPr="00A51C9E">
        <w:rPr>
          <w:rFonts w:eastAsiaTheme="minorEastAsia"/>
          <w:lang w:bidi="ar-SY"/>
        </w:rPr>
        <w:t>750</w:t>
      </w:r>
      <w:r w:rsidRPr="00A51C9E">
        <w:rPr>
          <w:rFonts w:eastAsiaTheme="minorEastAsia"/>
          <w:rtl/>
          <w:lang w:bidi="ar-SY"/>
        </w:rPr>
        <w:t xml:space="preserve">) نانومتر بمقياس الضوء </w:t>
      </w:r>
      <w:r w:rsidRPr="00A51C9E">
        <w:rPr>
          <w:rFonts w:eastAsiaTheme="minorEastAsia"/>
          <w:lang w:bidi="ar-SY"/>
        </w:rPr>
        <w:t>Photometer</w:t>
      </w:r>
      <w:r w:rsidRPr="00A51C9E">
        <w:rPr>
          <w:rFonts w:eastAsiaTheme="minorEastAsia"/>
          <w:rtl/>
          <w:lang w:bidi="ar-SY"/>
        </w:rPr>
        <w:t xml:space="preserve"> ، أما المقاييس التي تقيس الامتصاصية في مجال أوسع من أطوال الموجات يشمل بالإضافة للضوء المرئي كلاً من الأشعة فوق البنفسجية (200-400) نانومتر والأشعة تحت الحمراء (750</w:t>
      </w:r>
      <w:r w:rsidRPr="00A51C9E">
        <w:rPr>
          <w:rFonts w:eastAsiaTheme="minorEastAsia"/>
          <w:lang w:bidi="ar-SY"/>
        </w:rPr>
        <w:t xml:space="preserve"> </w:t>
      </w:r>
      <w:r w:rsidRPr="00A51C9E">
        <w:rPr>
          <w:rFonts w:eastAsiaTheme="minorEastAsia"/>
          <w:rtl/>
          <w:lang w:bidi="ar-SY"/>
        </w:rPr>
        <w:t xml:space="preserve">نانومتر-1000 نانومتر) بمقياس الطيف الضوئي </w:t>
      </w:r>
      <w:r w:rsidRPr="00A51C9E">
        <w:rPr>
          <w:rFonts w:eastAsiaTheme="minorEastAsia"/>
          <w:lang w:bidi="ar-SY"/>
        </w:rPr>
        <w:t>Spectrophotometer</w:t>
      </w:r>
      <w:r w:rsidRPr="00A51C9E">
        <w:rPr>
          <w:rFonts w:eastAsiaTheme="minorEastAsia"/>
          <w:rtl/>
          <w:lang w:bidi="ar-SY"/>
        </w:rPr>
        <w:t>.</w:t>
      </w:r>
      <w:r w:rsidRPr="00A51C9E">
        <w:rPr>
          <w:rFonts w:ascii="Simplified Arabic" w:eastAsiaTheme="minorEastAsia" w:hAnsi="Simplified Arabic" w:cs="Simplified Arabic"/>
          <w:sz w:val="28"/>
          <w:szCs w:val="28"/>
          <w:rtl/>
          <w:lang w:bidi="ar-SY"/>
        </w:rPr>
        <w:t xml:space="preserve"> </w:t>
      </w:r>
      <w:r w:rsidRPr="00A51C9E">
        <w:rPr>
          <w:rFonts w:eastAsiaTheme="minorEastAsia"/>
          <w:rtl/>
          <w:lang w:bidi="ar-SY"/>
        </w:rPr>
        <w:t>وتجدر الإشارة إلى أن معظم المعايرات الكهرضوئية في الكيمياء الحيوية تجرى في المجالين المرئي وفوق البنفسجي.</w:t>
      </w:r>
    </w:p>
    <w:p w14:paraId="039143FB" w14:textId="77777777" w:rsidR="00A51C9E" w:rsidRPr="00A51C9E" w:rsidRDefault="00A51C9E" w:rsidP="00A51C9E">
      <w:pPr>
        <w:spacing w:after="120" w:line="276" w:lineRule="auto"/>
        <w:ind w:left="-279" w:right="-284"/>
        <w:jc w:val="both"/>
        <w:rPr>
          <w:rFonts w:ascii="Simplified Arabic" w:eastAsiaTheme="minorEastAsia" w:hAnsi="Simplified Arabic" w:cs="Simplified Arabic"/>
          <w:sz w:val="28"/>
          <w:szCs w:val="28"/>
          <w:rtl/>
          <w:lang w:bidi="ar-SY"/>
        </w:rPr>
      </w:pPr>
    </w:p>
    <w:p w14:paraId="50132848" w14:textId="77777777" w:rsidR="00A51C9E" w:rsidRDefault="00A51C9E" w:rsidP="00A51C9E">
      <w:pPr>
        <w:spacing w:after="120" w:line="276" w:lineRule="auto"/>
        <w:ind w:left="-279" w:right="-284"/>
        <w:jc w:val="both"/>
        <w:rPr>
          <w:rFonts w:ascii="Simplified Arabic" w:eastAsiaTheme="minorEastAsia" w:hAnsi="Simplified Arabic" w:cs="Simplified Arabic"/>
          <w:sz w:val="28"/>
          <w:szCs w:val="28"/>
          <w:rtl/>
          <w:lang w:bidi="ar-SY"/>
        </w:rPr>
      </w:pPr>
    </w:p>
    <w:p w14:paraId="13110031" w14:textId="77777777" w:rsidR="00A51C9E" w:rsidRDefault="00A51C9E" w:rsidP="00A51C9E">
      <w:pPr>
        <w:spacing w:after="120" w:line="276" w:lineRule="auto"/>
        <w:ind w:left="-279" w:right="-284"/>
        <w:jc w:val="both"/>
        <w:rPr>
          <w:rFonts w:eastAsiaTheme="minorEastAsia"/>
          <w:rtl/>
          <w:lang w:bidi="ar-SY"/>
        </w:rPr>
      </w:pPr>
    </w:p>
    <w:p w14:paraId="76E99D64" w14:textId="048C3D1C" w:rsidR="00A51C9E" w:rsidRDefault="00A51C9E" w:rsidP="00A51C9E">
      <w:pPr>
        <w:spacing w:after="120" w:line="276" w:lineRule="auto"/>
        <w:ind w:left="-279" w:right="-284"/>
        <w:jc w:val="both"/>
        <w:rPr>
          <w:rFonts w:eastAsiaTheme="minorEastAsia"/>
          <w:rtl/>
          <w:lang w:bidi="ar-SY"/>
        </w:rPr>
      </w:pPr>
      <w:r w:rsidRPr="00A51C9E">
        <w:rPr>
          <w:rFonts w:eastAsiaTheme="minorEastAsia"/>
          <w:rtl/>
          <w:lang w:bidi="ar-SY"/>
        </w:rPr>
        <w:lastRenderedPageBreak/>
        <w:t>يتألف مقياس الطيف الضوئي من:</w:t>
      </w:r>
      <w:r w:rsidRPr="00A51C9E">
        <w:rPr>
          <w:rFonts w:eastAsiaTheme="minorEastAsia"/>
          <w:lang w:bidi="ar-SY"/>
        </w:rPr>
        <w:t xml:space="preserve"> </w:t>
      </w:r>
      <w:r w:rsidRPr="00A51C9E">
        <w:rPr>
          <w:rFonts w:eastAsiaTheme="minorEastAsia"/>
          <w:rtl/>
          <w:lang w:bidi="ar-SY"/>
        </w:rPr>
        <w:t>منبع ضوئي – مرشحة أو مستفرد أحادي اللون – خلية كهربائية ضوئية – مقياس لشدة التيار الكهربائي.</w:t>
      </w:r>
    </w:p>
    <w:p w14:paraId="36982987" w14:textId="067DEBA6" w:rsidR="00B17DFA" w:rsidRPr="00A51C9E" w:rsidRDefault="00B17DFA" w:rsidP="00B17DFA">
      <w:pPr>
        <w:spacing w:after="120" w:line="276" w:lineRule="auto"/>
        <w:ind w:left="-279" w:right="-284"/>
        <w:jc w:val="both"/>
        <w:rPr>
          <w:rFonts w:eastAsiaTheme="minorEastAsia"/>
          <w:rtl/>
          <w:lang w:bidi="ar-SY"/>
        </w:rPr>
      </w:pPr>
      <w:r w:rsidRPr="007A16C0">
        <w:rPr>
          <w:rFonts w:ascii="Simplified Arabic" w:hAnsi="Simplified Arabic" w:cs="Simplified Arabic"/>
          <w:noProof/>
          <w:sz w:val="28"/>
          <w:szCs w:val="28"/>
          <w:lang w:val="en-GB" w:eastAsia="en-GB"/>
        </w:rPr>
        <w:drawing>
          <wp:inline distT="0" distB="0" distL="0" distR="0" wp14:anchorId="27C5FD59" wp14:editId="71950217">
            <wp:extent cx="5257800" cy="1952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1952625"/>
                    </a:xfrm>
                    <a:prstGeom prst="rect">
                      <a:avLst/>
                    </a:prstGeom>
                    <a:noFill/>
                    <a:ln>
                      <a:noFill/>
                    </a:ln>
                  </pic:spPr>
                </pic:pic>
              </a:graphicData>
            </a:graphic>
          </wp:inline>
        </w:drawing>
      </w:r>
    </w:p>
    <w:p w14:paraId="7CF93542" w14:textId="7988E4AB" w:rsidR="00B17DFA" w:rsidRPr="00B17DFA" w:rsidRDefault="00B17DFA" w:rsidP="00B17DFA">
      <w:pPr>
        <w:spacing w:after="120" w:line="276" w:lineRule="auto"/>
        <w:ind w:left="-279" w:right="-284"/>
        <w:jc w:val="both"/>
        <w:rPr>
          <w:rFonts w:eastAsiaTheme="minorEastAsia"/>
          <w:rtl/>
          <w:lang w:bidi="ar-SY"/>
        </w:rPr>
      </w:pPr>
      <w:r w:rsidRPr="00B17DFA">
        <w:rPr>
          <w:rFonts w:eastAsiaTheme="minorEastAsia"/>
          <w:b/>
          <w:bCs/>
          <w:rtl/>
          <w:lang w:bidi="ar-SY"/>
        </w:rPr>
        <w:t xml:space="preserve">المنبع الضوئي </w:t>
      </w:r>
      <w:r w:rsidRPr="00B17DFA">
        <w:rPr>
          <w:rFonts w:eastAsiaTheme="minorEastAsia"/>
          <w:b/>
          <w:bCs/>
          <w:lang w:bidi="ar-SY"/>
        </w:rPr>
        <w:t>Light source</w:t>
      </w:r>
      <w:r w:rsidRPr="00B17DFA">
        <w:rPr>
          <w:rFonts w:eastAsiaTheme="minorEastAsia"/>
          <w:b/>
          <w:bCs/>
          <w:rtl/>
          <w:lang w:bidi="ar-SY"/>
        </w:rPr>
        <w:t>:</w:t>
      </w:r>
      <w:r w:rsidRPr="00B17DFA">
        <w:rPr>
          <w:rFonts w:eastAsiaTheme="minorEastAsia"/>
          <w:rtl/>
          <w:lang w:bidi="ar-SY"/>
        </w:rPr>
        <w:t xml:space="preserve"> يختلف حسب المجال من الطيف الكهرطيسي المراد القياس فيه (مصباح تنغستين بحال الضوء المرئي ومصباح هيدروجين بحال الأشعة فوق البنفسجية).</w:t>
      </w:r>
    </w:p>
    <w:p w14:paraId="7F7D227A" w14:textId="77777777" w:rsidR="00B17DFA" w:rsidRPr="00B17DFA" w:rsidRDefault="00B17DFA" w:rsidP="00B17DFA">
      <w:pPr>
        <w:spacing w:after="120" w:line="276" w:lineRule="auto"/>
        <w:ind w:left="-279" w:right="-284"/>
        <w:jc w:val="both"/>
        <w:rPr>
          <w:rFonts w:eastAsiaTheme="minorEastAsia"/>
          <w:rtl/>
          <w:lang w:bidi="ar-SY"/>
        </w:rPr>
      </w:pPr>
      <w:r w:rsidRPr="00B17DFA">
        <w:rPr>
          <w:rFonts w:eastAsiaTheme="minorEastAsia"/>
          <w:b/>
          <w:bCs/>
          <w:rtl/>
          <w:lang w:bidi="ar-SY"/>
        </w:rPr>
        <w:t xml:space="preserve">المرشحة </w:t>
      </w:r>
      <w:r w:rsidRPr="00B17DFA">
        <w:rPr>
          <w:rFonts w:eastAsiaTheme="minorEastAsia"/>
          <w:b/>
          <w:bCs/>
          <w:lang w:bidi="ar-SY"/>
        </w:rPr>
        <w:t>Filter</w:t>
      </w:r>
      <w:r w:rsidRPr="00B17DFA">
        <w:rPr>
          <w:rFonts w:eastAsiaTheme="minorEastAsia"/>
          <w:b/>
          <w:bCs/>
          <w:rtl/>
          <w:lang w:bidi="ar-SY"/>
        </w:rPr>
        <w:t xml:space="preserve"> أ</w:t>
      </w:r>
      <w:r w:rsidRPr="00B17DFA">
        <w:rPr>
          <w:rFonts w:eastAsiaTheme="minorEastAsia"/>
          <w:rtl/>
          <w:lang w:bidi="ar-SY"/>
        </w:rPr>
        <w:t xml:space="preserve">و المستفرد أحادي اللون </w:t>
      </w:r>
      <w:r w:rsidRPr="00B17DFA">
        <w:rPr>
          <w:rFonts w:eastAsiaTheme="minorEastAsia"/>
          <w:lang w:bidi="ar-SY"/>
        </w:rPr>
        <w:t>Monochromator</w:t>
      </w:r>
      <w:r w:rsidRPr="00B17DFA">
        <w:rPr>
          <w:rFonts w:eastAsiaTheme="minorEastAsia"/>
          <w:rtl/>
          <w:lang w:bidi="ar-SY"/>
        </w:rPr>
        <w:t>: يتألف مستفرد اللون من مواشير أو عدسات تُحلل الضوء إلى ألوانه الأصلية، مما يسمح بالحصول على أشعة ضوئية وحيدة اللون.</w:t>
      </w:r>
    </w:p>
    <w:p w14:paraId="7EA0AC1C" w14:textId="77777777" w:rsidR="00B17DFA" w:rsidRPr="00B17DFA" w:rsidRDefault="00B17DFA" w:rsidP="00B17DFA">
      <w:pPr>
        <w:spacing w:after="120" w:line="276" w:lineRule="auto"/>
        <w:ind w:left="-279" w:right="-284"/>
        <w:jc w:val="both"/>
        <w:rPr>
          <w:rFonts w:eastAsiaTheme="minorEastAsia"/>
          <w:rtl/>
          <w:lang w:bidi="ar-SY"/>
        </w:rPr>
      </w:pPr>
      <w:r w:rsidRPr="00B17DFA">
        <w:rPr>
          <w:rFonts w:eastAsiaTheme="minorEastAsia"/>
          <w:b/>
          <w:bCs/>
          <w:rtl/>
          <w:lang w:bidi="ar-SY"/>
        </w:rPr>
        <w:t xml:space="preserve">الكوفيت </w:t>
      </w:r>
      <w:r w:rsidRPr="00B17DFA">
        <w:rPr>
          <w:rFonts w:eastAsiaTheme="minorEastAsia"/>
          <w:b/>
          <w:bCs/>
          <w:lang w:bidi="ar-SY"/>
        </w:rPr>
        <w:t>:Cuvette</w:t>
      </w:r>
      <w:r w:rsidRPr="00B17DFA">
        <w:rPr>
          <w:rFonts w:eastAsiaTheme="minorEastAsia"/>
          <w:b/>
          <w:bCs/>
          <w:rtl/>
          <w:lang w:bidi="ar-SY"/>
        </w:rPr>
        <w:t xml:space="preserve"> </w:t>
      </w:r>
      <w:r w:rsidRPr="00B17DFA">
        <w:rPr>
          <w:rFonts w:eastAsiaTheme="minorEastAsia"/>
          <w:rtl/>
          <w:lang w:bidi="ar-SY"/>
        </w:rPr>
        <w:t xml:space="preserve">عادة تُستعمل كوفيت ذات سماكة 1 سم و ينبغي في المجال المرئي استخدام كوفيت بلاستيكية أو زجاجية أما عند استخدام الأشعة فوق البنفسجية فيجب استخدام الكوفيت المصنوع من الكوارتز لأن البلاستيك يمتص الأشعة </w:t>
      </w:r>
      <w:r w:rsidRPr="00B17DFA">
        <w:rPr>
          <w:rFonts w:eastAsiaTheme="minorEastAsia"/>
          <w:lang w:bidi="ar-SY"/>
        </w:rPr>
        <w:t>UV</w:t>
      </w:r>
      <w:r w:rsidRPr="00B17DFA">
        <w:rPr>
          <w:rFonts w:eastAsiaTheme="minorEastAsia"/>
          <w:rtl/>
          <w:lang w:bidi="ar-SY"/>
        </w:rPr>
        <w:t>. ويجب أن تكون الكوفيت نظيفة من الداخل والخارج وخالية من الاعوجاج والخدوش.</w:t>
      </w:r>
    </w:p>
    <w:p w14:paraId="74F7AFDF" w14:textId="77777777" w:rsidR="00B17DFA" w:rsidRDefault="00B17DFA" w:rsidP="00B17DFA">
      <w:pPr>
        <w:spacing w:after="120" w:line="276" w:lineRule="auto"/>
        <w:ind w:left="-279" w:right="-284"/>
        <w:jc w:val="both"/>
        <w:rPr>
          <w:rFonts w:eastAsiaTheme="minorEastAsia"/>
          <w:rtl/>
          <w:lang w:bidi="ar-SY"/>
        </w:rPr>
      </w:pPr>
      <w:r w:rsidRPr="00B17DFA">
        <w:rPr>
          <w:rFonts w:eastAsiaTheme="minorEastAsia"/>
          <w:b/>
          <w:bCs/>
          <w:rtl/>
          <w:lang w:bidi="ar-SY"/>
        </w:rPr>
        <w:t>الخلية الضوئية</w:t>
      </w:r>
      <w:r w:rsidRPr="00B17DFA">
        <w:rPr>
          <w:rFonts w:eastAsiaTheme="minorEastAsia"/>
          <w:b/>
          <w:bCs/>
          <w:lang w:bidi="ar-SY"/>
        </w:rPr>
        <w:t xml:space="preserve">detector </w:t>
      </w:r>
      <w:r w:rsidRPr="00B17DFA">
        <w:rPr>
          <w:rFonts w:eastAsiaTheme="minorEastAsia"/>
          <w:b/>
          <w:bCs/>
          <w:rtl/>
          <w:lang w:bidi="ar-SY"/>
        </w:rPr>
        <w:t xml:space="preserve"> </w:t>
      </w:r>
      <w:r w:rsidRPr="00B17DFA">
        <w:rPr>
          <w:rFonts w:eastAsiaTheme="minorEastAsia"/>
          <w:b/>
          <w:bCs/>
          <w:lang w:bidi="ar-SY"/>
        </w:rPr>
        <w:t>Photocell</w:t>
      </w:r>
      <w:r w:rsidRPr="00B17DFA">
        <w:rPr>
          <w:rFonts w:eastAsiaTheme="minorEastAsia"/>
          <w:b/>
          <w:bCs/>
          <w:rtl/>
          <w:lang w:bidi="ar-SY"/>
        </w:rPr>
        <w:t>:</w:t>
      </w:r>
      <w:r w:rsidRPr="00B17DFA">
        <w:rPr>
          <w:rFonts w:eastAsiaTheme="minorEastAsia"/>
          <w:rtl/>
          <w:lang w:bidi="ar-SY"/>
        </w:rPr>
        <w:t xml:space="preserve"> ينحصر عمل الخلية الكهربائية الضوئية في تحويل الضوء إلى تيار كهربائي</w:t>
      </w:r>
      <w:r w:rsidRPr="00B17DFA">
        <w:rPr>
          <w:rFonts w:eastAsiaTheme="minorEastAsia"/>
          <w:lang w:bidi="ar-SY"/>
        </w:rPr>
        <w:t xml:space="preserve"> </w:t>
      </w:r>
      <w:r w:rsidRPr="00B17DFA">
        <w:rPr>
          <w:rFonts w:eastAsiaTheme="minorEastAsia"/>
          <w:rtl/>
          <w:lang w:bidi="ar-SY"/>
        </w:rPr>
        <w:t xml:space="preserve"> يتم تضخيمه ثم تُقاس شدته بواسطة مقياس غلفاني.</w:t>
      </w:r>
    </w:p>
    <w:p w14:paraId="42629F19" w14:textId="5C7E6C55" w:rsidR="00B17DFA" w:rsidRPr="00B17DFA" w:rsidRDefault="00B17DFA" w:rsidP="00B17DFA">
      <w:pPr>
        <w:spacing w:after="120" w:line="276" w:lineRule="auto"/>
        <w:ind w:left="-279" w:right="-284"/>
        <w:jc w:val="both"/>
        <w:rPr>
          <w:rFonts w:eastAsiaTheme="minorEastAsia"/>
          <w:lang w:bidi="ar-SY"/>
        </w:rPr>
      </w:pPr>
      <w:r w:rsidRPr="007A16C0">
        <w:rPr>
          <w:rFonts w:ascii="Simplified Arabic" w:hAnsi="Simplified Arabic" w:cs="Simplified Arabic"/>
          <w:noProof/>
          <w:sz w:val="28"/>
          <w:szCs w:val="28"/>
          <w:lang w:val="en-GB" w:eastAsia="en-GB"/>
        </w:rPr>
        <w:drawing>
          <wp:inline distT="0" distB="0" distL="0" distR="0" wp14:anchorId="790ED915" wp14:editId="49AB0386">
            <wp:extent cx="5543550" cy="3048000"/>
            <wp:effectExtent l="0" t="0" r="0" b="0"/>
            <wp:docPr id="1" name="Picture 1" descr="Image result for electromagnetic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lectromagnetic 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3048000"/>
                    </a:xfrm>
                    <a:prstGeom prst="rect">
                      <a:avLst/>
                    </a:prstGeom>
                    <a:noFill/>
                    <a:ln>
                      <a:noFill/>
                    </a:ln>
                  </pic:spPr>
                </pic:pic>
              </a:graphicData>
            </a:graphic>
          </wp:inline>
        </w:drawing>
      </w:r>
    </w:p>
    <w:p w14:paraId="7B4801C8" w14:textId="77777777" w:rsidR="00A51C9E" w:rsidRPr="00A51C9E" w:rsidRDefault="00A51C9E" w:rsidP="00A51C9E">
      <w:pPr>
        <w:spacing w:after="120" w:line="276" w:lineRule="auto"/>
        <w:ind w:left="-279" w:right="-284"/>
        <w:jc w:val="both"/>
        <w:rPr>
          <w:rFonts w:ascii="Simplified Arabic" w:eastAsiaTheme="minorEastAsia" w:hAnsi="Simplified Arabic" w:cs="Simplified Arabic"/>
          <w:sz w:val="28"/>
          <w:szCs w:val="28"/>
          <w:rtl/>
          <w:lang w:bidi="ar-SY"/>
        </w:rPr>
      </w:pPr>
    </w:p>
    <w:p w14:paraId="3CC63E17" w14:textId="77777777" w:rsidR="00B17DFA" w:rsidRPr="00B17DFA" w:rsidRDefault="00B17DFA" w:rsidP="00B17DFA">
      <w:pPr>
        <w:tabs>
          <w:tab w:val="right" w:pos="720"/>
        </w:tabs>
        <w:spacing w:after="120" w:line="276" w:lineRule="auto"/>
        <w:ind w:left="-138" w:right="-284"/>
        <w:jc w:val="both"/>
        <w:rPr>
          <w:rFonts w:eastAsiaTheme="minorEastAsia"/>
          <w:b/>
          <w:bCs/>
          <w:color w:val="1F3864" w:themeColor="accent1" w:themeShade="80"/>
          <w:sz w:val="26"/>
          <w:szCs w:val="26"/>
          <w:lang w:bidi="ar-SY"/>
        </w:rPr>
      </w:pPr>
      <w:r w:rsidRPr="00B17DFA">
        <w:rPr>
          <w:rFonts w:eastAsiaTheme="minorEastAsia"/>
          <w:b/>
          <w:bCs/>
          <w:color w:val="1F3864" w:themeColor="accent1" w:themeShade="80"/>
          <w:sz w:val="26"/>
          <w:szCs w:val="26"/>
          <w:rtl/>
          <w:lang w:bidi="ar-SY"/>
        </w:rPr>
        <w:t>طول موجة الامتصاص الأعظمي</w:t>
      </w:r>
      <w:r w:rsidRPr="00B17DFA">
        <w:rPr>
          <w:rFonts w:eastAsiaTheme="minorEastAsia"/>
          <w:b/>
          <w:bCs/>
          <w:color w:val="1F3864" w:themeColor="accent1" w:themeShade="80"/>
          <w:sz w:val="26"/>
          <w:szCs w:val="26"/>
          <w:lang w:bidi="ar-SY"/>
        </w:rPr>
        <w:t>:</w:t>
      </w:r>
    </w:p>
    <w:p w14:paraId="1C48BDF7" w14:textId="77777777" w:rsidR="00B17DFA" w:rsidRPr="00B17DFA" w:rsidRDefault="00B17DFA" w:rsidP="00B17DFA">
      <w:pPr>
        <w:spacing w:after="120" w:line="276" w:lineRule="auto"/>
        <w:ind w:left="-279" w:right="-284"/>
        <w:jc w:val="both"/>
        <w:rPr>
          <w:rFonts w:eastAsiaTheme="minorEastAsia"/>
          <w:rtl/>
          <w:lang w:bidi="ar-SY"/>
        </w:rPr>
      </w:pPr>
      <w:r w:rsidRPr="00B17DFA">
        <w:rPr>
          <w:rFonts w:eastAsiaTheme="minorEastAsia"/>
          <w:rtl/>
          <w:lang w:bidi="ar-SY"/>
        </w:rPr>
        <w:t>قبل تطبيق المعايرات اللونية الكهرضوئية لتحديد تركيز مادة مجهولة يتعين أولاً رسم الطيف الكهرطيسي للمادة المراد معايرتها لاستخراج طول موجة الامتصاص الأعظمي وتثبيته في جميع القياسات للمادة نفسها. وتكمن اهمية اعتماد طول موجة الامتصاص الأعظمي في القياس فيما يلي:</w:t>
      </w:r>
    </w:p>
    <w:p w14:paraId="2DAC7CC1" w14:textId="77777777" w:rsidR="00B17DFA" w:rsidRPr="00B17DFA" w:rsidRDefault="00B17DFA" w:rsidP="00B17DFA">
      <w:pPr>
        <w:numPr>
          <w:ilvl w:val="0"/>
          <w:numId w:val="4"/>
        </w:numPr>
        <w:spacing w:after="120" w:line="276" w:lineRule="auto"/>
        <w:ind w:right="-284"/>
        <w:contextualSpacing/>
        <w:jc w:val="both"/>
        <w:rPr>
          <w:rFonts w:eastAsiaTheme="minorEastAsia"/>
          <w:lang w:bidi="ar-SY"/>
        </w:rPr>
      </w:pPr>
      <w:r w:rsidRPr="00B17DFA">
        <w:rPr>
          <w:rFonts w:eastAsiaTheme="minorEastAsia"/>
          <w:rtl/>
          <w:lang w:bidi="ar-SY"/>
        </w:rPr>
        <w:t>تعتبر قيمتها نوعية لكل مادة على حده مما يساهم في زيادة نوعية الطريقة التحليلية وتقليل التداخلات الممكنة من المواد الأخرى الموجودة في المحلول كما في العمل على عينات حيوية.</w:t>
      </w:r>
    </w:p>
    <w:p w14:paraId="4D3AD1A7" w14:textId="77777777" w:rsidR="00B17DFA" w:rsidRPr="00B17DFA" w:rsidRDefault="00B17DFA" w:rsidP="00B17DFA">
      <w:pPr>
        <w:numPr>
          <w:ilvl w:val="0"/>
          <w:numId w:val="4"/>
        </w:numPr>
        <w:spacing w:after="120" w:line="276" w:lineRule="auto"/>
        <w:ind w:right="-284"/>
        <w:contextualSpacing/>
        <w:jc w:val="both"/>
        <w:rPr>
          <w:rFonts w:eastAsiaTheme="minorEastAsia"/>
          <w:lang w:bidi="ar-SY"/>
        </w:rPr>
      </w:pPr>
      <w:r w:rsidRPr="00B17DFA">
        <w:rPr>
          <w:rFonts w:eastAsiaTheme="minorEastAsia"/>
          <w:rtl/>
          <w:lang w:bidi="ar-SY"/>
        </w:rPr>
        <w:t>تحقق الحساسية الأعلى للقياس.</w:t>
      </w:r>
    </w:p>
    <w:p w14:paraId="6489CFD4" w14:textId="77777777" w:rsidR="00B17DFA" w:rsidRPr="00B17DFA" w:rsidRDefault="00B17DFA" w:rsidP="00B17DFA">
      <w:pPr>
        <w:numPr>
          <w:ilvl w:val="0"/>
          <w:numId w:val="4"/>
        </w:numPr>
        <w:spacing w:after="120" w:line="276" w:lineRule="auto"/>
        <w:ind w:right="-284"/>
        <w:contextualSpacing/>
        <w:jc w:val="both"/>
        <w:rPr>
          <w:rFonts w:eastAsiaTheme="minorEastAsia"/>
          <w:lang w:bidi="ar-SY"/>
        </w:rPr>
      </w:pPr>
      <w:r w:rsidRPr="00B17DFA">
        <w:rPr>
          <w:rFonts w:eastAsiaTheme="minorEastAsia"/>
          <w:rtl/>
          <w:lang w:bidi="ar-SY"/>
        </w:rPr>
        <w:t>تقليل الانحراف عن قانون بيير لامبيرت إلى الحد الأدنى.</w:t>
      </w:r>
    </w:p>
    <w:p w14:paraId="15F6E1E4" w14:textId="77777777" w:rsidR="00B17DFA" w:rsidRPr="00B17DFA" w:rsidRDefault="00B17DFA" w:rsidP="00B17DFA">
      <w:pPr>
        <w:spacing w:after="120" w:line="276" w:lineRule="auto"/>
        <w:ind w:left="-279" w:right="-284"/>
        <w:jc w:val="both"/>
        <w:rPr>
          <w:rFonts w:eastAsiaTheme="minorEastAsia"/>
          <w:rtl/>
          <w:lang w:bidi="ar-SY"/>
        </w:rPr>
      </w:pPr>
      <w:r w:rsidRPr="00B17DFA">
        <w:rPr>
          <w:rFonts w:eastAsiaTheme="minorEastAsia"/>
          <w:rtl/>
          <w:lang w:bidi="ar-SY"/>
        </w:rPr>
        <w:t>تحدد المراجع حالياً طول موجة الامتصاص الأعظمي لكل المواد التي يمكن معايرتها بهذه الطرائق، وفي حال عدم معرفة القيمة المرجعية يمكن قياسها كما سيرد في القسم التطبيقي من هذه الجلسة.</w:t>
      </w:r>
    </w:p>
    <w:p w14:paraId="3B44B48E" w14:textId="77777777" w:rsidR="00B17DFA" w:rsidRPr="00B17DFA" w:rsidRDefault="00B17DFA" w:rsidP="00B17DFA">
      <w:pPr>
        <w:spacing w:after="120" w:line="276" w:lineRule="auto"/>
        <w:ind w:left="-279" w:right="-284"/>
        <w:jc w:val="both"/>
        <w:rPr>
          <w:rFonts w:ascii="Simplified Arabic" w:eastAsiaTheme="minorEastAsia" w:hAnsi="Simplified Arabic" w:cs="Simplified Arabic"/>
          <w:sz w:val="28"/>
          <w:szCs w:val="28"/>
          <w:rtl/>
          <w:lang w:bidi="ar-SY"/>
        </w:rPr>
      </w:pPr>
    </w:p>
    <w:p w14:paraId="4C605B13" w14:textId="77777777" w:rsidR="00B17DFA" w:rsidRDefault="00B17DFA" w:rsidP="00B17DFA">
      <w:pPr>
        <w:tabs>
          <w:tab w:val="right" w:pos="720"/>
        </w:tabs>
        <w:spacing w:after="120" w:line="276" w:lineRule="auto"/>
        <w:ind w:left="-138" w:right="-284"/>
        <w:jc w:val="both"/>
        <w:rPr>
          <w:rFonts w:eastAsiaTheme="minorEastAsia"/>
          <w:b/>
          <w:bCs/>
          <w:color w:val="1F3864" w:themeColor="accent1" w:themeShade="80"/>
          <w:sz w:val="26"/>
          <w:szCs w:val="26"/>
          <w:rtl/>
          <w:lang w:bidi="ar-SY"/>
        </w:rPr>
      </w:pPr>
    </w:p>
    <w:p w14:paraId="55CF856D" w14:textId="15C1F1A7" w:rsidR="00B17DFA" w:rsidRPr="00B17DFA" w:rsidRDefault="00B17DFA" w:rsidP="00B17DFA">
      <w:pPr>
        <w:tabs>
          <w:tab w:val="right" w:pos="720"/>
        </w:tabs>
        <w:spacing w:after="120" w:line="276" w:lineRule="auto"/>
        <w:ind w:left="-138" w:right="-284"/>
        <w:jc w:val="both"/>
        <w:rPr>
          <w:rFonts w:eastAsiaTheme="minorEastAsia"/>
          <w:b/>
          <w:bCs/>
          <w:color w:val="1F3864" w:themeColor="accent1" w:themeShade="80"/>
          <w:sz w:val="26"/>
          <w:szCs w:val="26"/>
          <w:lang w:bidi="ar-SY"/>
        </w:rPr>
      </w:pPr>
      <w:r w:rsidRPr="00B17DFA">
        <w:rPr>
          <w:rFonts w:eastAsiaTheme="minorEastAsia"/>
          <w:b/>
          <w:bCs/>
          <w:color w:val="1F3864" w:themeColor="accent1" w:themeShade="80"/>
          <w:sz w:val="26"/>
          <w:szCs w:val="26"/>
          <w:rtl/>
          <w:lang w:bidi="ar-SY"/>
        </w:rPr>
        <w:t xml:space="preserve">استخدام محلول عياري </w:t>
      </w:r>
      <w:r w:rsidRPr="00B17DFA">
        <w:rPr>
          <w:rFonts w:eastAsiaTheme="minorEastAsia"/>
          <w:b/>
          <w:bCs/>
          <w:color w:val="1F3864" w:themeColor="accent1" w:themeShade="80"/>
          <w:sz w:val="26"/>
          <w:szCs w:val="26"/>
          <w:lang w:bidi="ar-SY"/>
        </w:rPr>
        <w:t>standard</w:t>
      </w:r>
      <w:r w:rsidRPr="00B17DFA">
        <w:rPr>
          <w:rFonts w:eastAsiaTheme="minorEastAsia"/>
          <w:b/>
          <w:bCs/>
          <w:color w:val="1F3864" w:themeColor="accent1" w:themeShade="80"/>
          <w:sz w:val="26"/>
          <w:szCs w:val="26"/>
          <w:rtl/>
          <w:lang w:bidi="ar-SY"/>
        </w:rPr>
        <w:t>:</w:t>
      </w:r>
    </w:p>
    <w:p w14:paraId="153E7846" w14:textId="77777777" w:rsidR="00B17DFA" w:rsidRPr="00B17DFA" w:rsidRDefault="00B17DFA" w:rsidP="00B17DFA">
      <w:pPr>
        <w:spacing w:after="120" w:line="276" w:lineRule="auto"/>
        <w:ind w:left="-279" w:right="-284"/>
        <w:jc w:val="both"/>
        <w:rPr>
          <w:rFonts w:eastAsiaTheme="minorEastAsia"/>
          <w:lang w:bidi="ar-SY"/>
        </w:rPr>
      </w:pPr>
      <w:r w:rsidRPr="00B17DFA">
        <w:rPr>
          <w:rFonts w:eastAsiaTheme="minorEastAsia"/>
          <w:rtl/>
          <w:lang w:bidi="ar-SY"/>
        </w:rPr>
        <w:t>بما أن العلاقة بين التراكيز والامتصاصية هي علاقة طردية خطية لذلك فإن:</w:t>
      </w:r>
    </w:p>
    <w:p w14:paraId="1898C875" w14:textId="77777777" w:rsidR="00B17DFA" w:rsidRPr="00B17DFA" w:rsidRDefault="00B17DFA" w:rsidP="00B17DFA">
      <w:pPr>
        <w:spacing w:after="120" w:line="276" w:lineRule="auto"/>
        <w:ind w:left="-279" w:right="-284"/>
        <w:jc w:val="both"/>
        <w:rPr>
          <w:rFonts w:eastAsiaTheme="minorEastAsia"/>
          <w:lang w:bidi="ar-SY"/>
        </w:rPr>
      </w:pPr>
      <w:r w:rsidRPr="00B17DFA">
        <w:rPr>
          <w:rFonts w:eastAsiaTheme="minorEastAsia"/>
          <w:lang w:bidi="ar-SY"/>
        </w:rPr>
        <w:t>C1/C2=A1/A2</w:t>
      </w:r>
    </w:p>
    <w:p w14:paraId="384EFEBB" w14:textId="77777777" w:rsidR="00B17DFA" w:rsidRPr="00B17DFA" w:rsidRDefault="00B17DFA" w:rsidP="00B17DFA">
      <w:pPr>
        <w:spacing w:after="120" w:line="276" w:lineRule="auto"/>
        <w:ind w:left="-279" w:right="-284"/>
        <w:jc w:val="both"/>
        <w:rPr>
          <w:rFonts w:eastAsiaTheme="minorEastAsia"/>
          <w:lang w:bidi="ar-SY"/>
        </w:rPr>
      </w:pPr>
      <w:r w:rsidRPr="00B17DFA">
        <w:rPr>
          <w:rFonts w:eastAsiaTheme="minorEastAsia"/>
          <w:rtl/>
          <w:lang w:bidi="ar-SY"/>
        </w:rPr>
        <w:t xml:space="preserve">فإذا كانت </w:t>
      </w:r>
      <w:r w:rsidRPr="00B17DFA">
        <w:rPr>
          <w:rFonts w:eastAsiaTheme="minorEastAsia"/>
          <w:lang w:bidi="ar-SY"/>
        </w:rPr>
        <w:t>A2</w:t>
      </w:r>
      <w:r w:rsidRPr="00B17DFA">
        <w:rPr>
          <w:rFonts w:eastAsiaTheme="minorEastAsia"/>
          <w:rtl/>
          <w:lang w:bidi="ar-SY"/>
        </w:rPr>
        <w:t xml:space="preserve"> الامتصاصية لمحلول معياري تركيزه </w:t>
      </w:r>
      <w:r w:rsidRPr="00B17DFA">
        <w:rPr>
          <w:rFonts w:eastAsiaTheme="minorEastAsia"/>
          <w:lang w:bidi="ar-SY"/>
        </w:rPr>
        <w:t>C2</w:t>
      </w:r>
      <w:r w:rsidRPr="00B17DFA">
        <w:rPr>
          <w:rFonts w:eastAsiaTheme="minorEastAsia"/>
          <w:rtl/>
          <w:lang w:bidi="ar-SY"/>
        </w:rPr>
        <w:t xml:space="preserve"> معلوم بدقة فإنه يمكن أن نستنتج تركيز المحلول الأول المجهول من العلاقة:</w:t>
      </w:r>
    </w:p>
    <w:p w14:paraId="498F17B0" w14:textId="77777777" w:rsidR="00B17DFA" w:rsidRPr="00B17DFA" w:rsidRDefault="00B17DFA" w:rsidP="00B17DFA">
      <w:pPr>
        <w:spacing w:after="120" w:line="276" w:lineRule="auto"/>
        <w:ind w:left="-279" w:right="-284"/>
        <w:jc w:val="both"/>
        <w:rPr>
          <w:rFonts w:eastAsiaTheme="minorEastAsia"/>
          <w:rtl/>
          <w:lang w:bidi="ar-SY"/>
        </w:rPr>
      </w:pPr>
      <w:r w:rsidRPr="00B17DFA">
        <w:rPr>
          <w:rFonts w:eastAsiaTheme="minorEastAsia"/>
          <w:lang w:bidi="ar-SY"/>
        </w:rPr>
        <w:t>C</w:t>
      </w:r>
      <w:r w:rsidRPr="00B17DFA">
        <w:rPr>
          <w:rFonts w:eastAsiaTheme="minorEastAsia"/>
          <w:vertAlign w:val="subscript"/>
          <w:lang w:bidi="ar-SY"/>
        </w:rPr>
        <w:t>1</w:t>
      </w:r>
      <w:r w:rsidRPr="00B17DFA">
        <w:rPr>
          <w:rFonts w:eastAsiaTheme="minorEastAsia"/>
          <w:lang w:bidi="ar-SY"/>
        </w:rPr>
        <w:t>= (A</w:t>
      </w:r>
      <w:r w:rsidRPr="00B17DFA">
        <w:rPr>
          <w:rFonts w:eastAsiaTheme="minorEastAsia"/>
          <w:vertAlign w:val="subscript"/>
          <w:lang w:bidi="ar-SY"/>
        </w:rPr>
        <w:t>1</w:t>
      </w:r>
      <w:r w:rsidRPr="00B17DFA">
        <w:rPr>
          <w:rFonts w:eastAsiaTheme="minorEastAsia"/>
          <w:lang w:bidi="ar-SY"/>
        </w:rPr>
        <w:t>/A</w:t>
      </w:r>
      <w:r w:rsidRPr="00B17DFA">
        <w:rPr>
          <w:rFonts w:eastAsiaTheme="minorEastAsia"/>
          <w:vertAlign w:val="subscript"/>
          <w:lang w:bidi="ar-SY"/>
        </w:rPr>
        <w:t>2</w:t>
      </w:r>
      <w:r w:rsidRPr="00B17DFA">
        <w:rPr>
          <w:rFonts w:eastAsiaTheme="minorEastAsia"/>
          <w:lang w:bidi="ar-SY"/>
        </w:rPr>
        <w:t>) .C</w:t>
      </w:r>
      <w:r w:rsidRPr="00B17DFA">
        <w:rPr>
          <w:rFonts w:eastAsiaTheme="minorEastAsia"/>
          <w:vertAlign w:val="subscript"/>
          <w:lang w:bidi="ar-SY"/>
        </w:rPr>
        <w:t>2</w:t>
      </w:r>
    </w:p>
    <w:p w14:paraId="7F404960" w14:textId="77777777" w:rsidR="00FD6383" w:rsidRPr="00B17DFA" w:rsidRDefault="00FD6383" w:rsidP="00FD6383">
      <w:pPr>
        <w:spacing w:after="120" w:line="276" w:lineRule="auto"/>
        <w:ind w:left="-279" w:right="-284"/>
        <w:jc w:val="both"/>
        <w:rPr>
          <w:rFonts w:eastAsiaTheme="minorEastAsia"/>
          <w:rtl/>
          <w:lang w:bidi="ar-SY"/>
        </w:rPr>
      </w:pPr>
    </w:p>
    <w:p w14:paraId="5C9727A0" w14:textId="77777777" w:rsidR="00FD6383" w:rsidRPr="00FD6383" w:rsidRDefault="00FD6383" w:rsidP="00FD6383">
      <w:pPr>
        <w:spacing w:after="120" w:line="276" w:lineRule="auto"/>
        <w:ind w:left="-279" w:right="-284"/>
        <w:jc w:val="both"/>
        <w:rPr>
          <w:rFonts w:eastAsiaTheme="minorEastAsia"/>
          <w:rtl/>
          <w:lang w:bidi="ar-SY"/>
        </w:rPr>
      </w:pPr>
    </w:p>
    <w:p w14:paraId="546037C6" w14:textId="4C370B4C" w:rsidR="00AC0DE1" w:rsidRDefault="00AC0DE1" w:rsidP="00855B13">
      <w:pPr>
        <w:rPr>
          <w:rtl/>
          <w:lang w:bidi="ar-SY"/>
        </w:rPr>
      </w:pPr>
    </w:p>
    <w:p w14:paraId="4895753E" w14:textId="77777777" w:rsidR="00B17DFA" w:rsidRDefault="00B17DFA" w:rsidP="00855B13">
      <w:pPr>
        <w:rPr>
          <w:rtl/>
          <w:lang w:bidi="ar-SY"/>
        </w:rPr>
      </w:pPr>
    </w:p>
    <w:p w14:paraId="5A51BCCD" w14:textId="77777777" w:rsidR="00B17DFA" w:rsidRDefault="00B17DFA" w:rsidP="00855B13">
      <w:pPr>
        <w:rPr>
          <w:rtl/>
          <w:lang w:bidi="ar-SY"/>
        </w:rPr>
      </w:pPr>
    </w:p>
    <w:p w14:paraId="7AEA0E31" w14:textId="77777777" w:rsidR="00B17DFA" w:rsidRDefault="00B17DFA" w:rsidP="00855B13">
      <w:pPr>
        <w:rPr>
          <w:rtl/>
          <w:lang w:bidi="ar-SY"/>
        </w:rPr>
      </w:pPr>
    </w:p>
    <w:p w14:paraId="36796FAA" w14:textId="77777777" w:rsidR="00B17DFA" w:rsidRDefault="00B17DFA" w:rsidP="00855B13">
      <w:pPr>
        <w:rPr>
          <w:rtl/>
          <w:lang w:bidi="ar-SY"/>
        </w:rPr>
      </w:pPr>
    </w:p>
    <w:p w14:paraId="6290DF76" w14:textId="77777777" w:rsidR="00B17DFA" w:rsidRDefault="00B17DFA" w:rsidP="00855B13">
      <w:pPr>
        <w:rPr>
          <w:rtl/>
          <w:lang w:bidi="ar-SY"/>
        </w:rPr>
      </w:pPr>
    </w:p>
    <w:p w14:paraId="3A63874D" w14:textId="77777777" w:rsidR="00B17DFA" w:rsidRDefault="00B17DFA" w:rsidP="00855B13">
      <w:pPr>
        <w:rPr>
          <w:rtl/>
          <w:lang w:bidi="ar-SY"/>
        </w:rPr>
      </w:pPr>
    </w:p>
    <w:p w14:paraId="68000D55" w14:textId="77777777" w:rsidR="00B17DFA" w:rsidRPr="00B17DFA" w:rsidRDefault="00B17DFA" w:rsidP="00B17DFA">
      <w:pPr>
        <w:tabs>
          <w:tab w:val="right" w:pos="720"/>
        </w:tabs>
        <w:spacing w:after="120" w:line="276" w:lineRule="auto"/>
        <w:ind w:left="-138" w:right="-284"/>
        <w:jc w:val="both"/>
        <w:rPr>
          <w:rFonts w:eastAsiaTheme="minorEastAsia"/>
          <w:b/>
          <w:bCs/>
          <w:color w:val="1F3864" w:themeColor="accent1" w:themeShade="80"/>
          <w:sz w:val="28"/>
          <w:szCs w:val="28"/>
          <w:rtl/>
          <w:lang w:bidi="ar-SY"/>
        </w:rPr>
      </w:pPr>
      <w:r w:rsidRPr="00B17DFA">
        <w:rPr>
          <w:rFonts w:eastAsiaTheme="minorEastAsia"/>
          <w:b/>
          <w:bCs/>
          <w:color w:val="1F3864" w:themeColor="accent1" w:themeShade="80"/>
          <w:sz w:val="28"/>
          <w:szCs w:val="28"/>
          <w:rtl/>
          <w:lang w:bidi="ar-SY"/>
        </w:rPr>
        <w:t>القسم العملي: تحديد طول موجة الامتصاص الأعظمي لمعقد ملون</w:t>
      </w:r>
    </w:p>
    <w:p w14:paraId="650C6B5D" w14:textId="77777777" w:rsidR="00B17DFA" w:rsidRPr="00B17DFA" w:rsidRDefault="00B17DFA" w:rsidP="00B17DFA">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B17DFA">
        <w:rPr>
          <w:rFonts w:eastAsiaTheme="minorEastAsia"/>
          <w:b/>
          <w:bCs/>
          <w:color w:val="1F3864" w:themeColor="accent1" w:themeShade="80"/>
          <w:sz w:val="26"/>
          <w:szCs w:val="26"/>
          <w:rtl/>
          <w:lang w:bidi="ar-SY"/>
        </w:rPr>
        <w:t xml:space="preserve">المبدأ: </w:t>
      </w:r>
    </w:p>
    <w:p w14:paraId="287FC7CC" w14:textId="77777777" w:rsidR="00B17DFA" w:rsidRPr="00B17DFA" w:rsidRDefault="00B17DFA" w:rsidP="00B17DFA">
      <w:pPr>
        <w:spacing w:after="120" w:line="276" w:lineRule="auto"/>
        <w:ind w:left="-279" w:right="-284"/>
        <w:jc w:val="both"/>
        <w:rPr>
          <w:rFonts w:eastAsiaTheme="minorEastAsia"/>
          <w:rtl/>
          <w:lang w:bidi="ar-SY"/>
        </w:rPr>
      </w:pPr>
      <w:r w:rsidRPr="00B17DFA">
        <w:rPr>
          <w:rFonts w:eastAsiaTheme="minorEastAsia"/>
          <w:rtl/>
          <w:lang w:bidi="ar-SY"/>
        </w:rPr>
        <w:t>تطبيق تفاعل لوني بين بروتين الألبومين وكاشف البيوريت النوعي للكشف عن البروتينات، وقياس امتصاصية هذا المعقد في مجال محدد من أطوال الموجات ورسم طيف الامتصاصية بالاستعانة بجهاز السبيكتروفوتومتر ثم تحديد طول موجة الامتصاص الأعظمي.</w:t>
      </w:r>
    </w:p>
    <w:p w14:paraId="49209DFF" w14:textId="77777777" w:rsidR="00B17DFA" w:rsidRPr="00B17DFA" w:rsidRDefault="00B17DFA" w:rsidP="00B17DFA">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B17DFA">
        <w:rPr>
          <w:rFonts w:eastAsiaTheme="minorEastAsia"/>
          <w:b/>
          <w:bCs/>
          <w:color w:val="1F3864" w:themeColor="accent1" w:themeShade="80"/>
          <w:sz w:val="26"/>
          <w:szCs w:val="26"/>
          <w:rtl/>
          <w:lang w:bidi="ar-SY"/>
        </w:rPr>
        <w:t>المواد والأجهزة المستعملة:</w:t>
      </w:r>
    </w:p>
    <w:p w14:paraId="035A2505" w14:textId="77777777" w:rsidR="00B17DFA" w:rsidRPr="00B17DFA" w:rsidRDefault="00B17DFA" w:rsidP="00B17DFA">
      <w:pPr>
        <w:numPr>
          <w:ilvl w:val="0"/>
          <w:numId w:val="5"/>
        </w:numPr>
        <w:spacing w:after="120" w:line="276" w:lineRule="auto"/>
        <w:ind w:left="4" w:right="-284"/>
        <w:jc w:val="both"/>
        <w:rPr>
          <w:rFonts w:eastAsiaTheme="minorEastAsia"/>
          <w:lang w:bidi="ar-SY"/>
        </w:rPr>
      </w:pPr>
      <w:r w:rsidRPr="00B17DFA">
        <w:rPr>
          <w:rFonts w:eastAsiaTheme="minorEastAsia"/>
          <w:rtl/>
          <w:lang w:bidi="ar-SY"/>
        </w:rPr>
        <w:t>محلول بروتين الألبومين 20 غ/لتر.</w:t>
      </w:r>
    </w:p>
    <w:p w14:paraId="344ADB14" w14:textId="77777777" w:rsidR="00B17DFA" w:rsidRPr="00B17DFA" w:rsidRDefault="00B17DFA" w:rsidP="00B17DFA">
      <w:pPr>
        <w:numPr>
          <w:ilvl w:val="0"/>
          <w:numId w:val="5"/>
        </w:numPr>
        <w:spacing w:after="120" w:line="276" w:lineRule="auto"/>
        <w:ind w:left="4" w:right="-284"/>
        <w:jc w:val="both"/>
        <w:rPr>
          <w:rFonts w:eastAsiaTheme="minorEastAsia"/>
          <w:lang w:bidi="ar-SY"/>
        </w:rPr>
      </w:pPr>
      <w:r w:rsidRPr="00B17DFA">
        <w:rPr>
          <w:rFonts w:eastAsiaTheme="minorEastAsia"/>
          <w:rtl/>
          <w:lang w:bidi="ar-SY"/>
        </w:rPr>
        <w:t>كاشف البيوريت</w:t>
      </w:r>
    </w:p>
    <w:p w14:paraId="36C352D3" w14:textId="77777777" w:rsidR="00B17DFA" w:rsidRPr="00B17DFA" w:rsidRDefault="00B17DFA" w:rsidP="00B17DFA">
      <w:pPr>
        <w:numPr>
          <w:ilvl w:val="0"/>
          <w:numId w:val="5"/>
        </w:numPr>
        <w:spacing w:after="120" w:line="276" w:lineRule="auto"/>
        <w:ind w:left="4" w:right="-284"/>
        <w:jc w:val="both"/>
        <w:rPr>
          <w:rFonts w:eastAsiaTheme="minorEastAsia"/>
          <w:lang w:bidi="ar-SY"/>
        </w:rPr>
      </w:pPr>
      <w:r w:rsidRPr="00B17DFA">
        <w:rPr>
          <w:rFonts w:eastAsiaTheme="minorEastAsia"/>
          <w:rtl/>
          <w:lang w:bidi="ar-SY"/>
        </w:rPr>
        <w:t>كوفيت بلاستيكية</w:t>
      </w:r>
    </w:p>
    <w:p w14:paraId="7E4D4A35" w14:textId="77777777" w:rsidR="00B17DFA" w:rsidRPr="00B17DFA" w:rsidRDefault="00B17DFA" w:rsidP="00B17DFA">
      <w:pPr>
        <w:numPr>
          <w:ilvl w:val="0"/>
          <w:numId w:val="5"/>
        </w:numPr>
        <w:spacing w:after="120" w:line="276" w:lineRule="auto"/>
        <w:ind w:left="4" w:right="-284"/>
        <w:jc w:val="both"/>
        <w:rPr>
          <w:rFonts w:eastAsiaTheme="minorEastAsia"/>
          <w:lang w:bidi="ar-SY"/>
        </w:rPr>
      </w:pPr>
      <w:r w:rsidRPr="00B17DFA">
        <w:rPr>
          <w:rFonts w:eastAsiaTheme="minorEastAsia"/>
          <w:rtl/>
          <w:lang w:bidi="ar-SY"/>
        </w:rPr>
        <w:t>مقياس الطيف الضوئي</w:t>
      </w:r>
    </w:p>
    <w:p w14:paraId="7624C01F" w14:textId="77777777" w:rsidR="00B17DFA" w:rsidRPr="00B17DFA" w:rsidRDefault="00B17DFA" w:rsidP="00B17DFA">
      <w:pPr>
        <w:numPr>
          <w:ilvl w:val="0"/>
          <w:numId w:val="5"/>
        </w:numPr>
        <w:spacing w:after="120" w:line="276" w:lineRule="auto"/>
        <w:ind w:left="4" w:right="-284"/>
        <w:jc w:val="both"/>
        <w:rPr>
          <w:rFonts w:eastAsiaTheme="minorEastAsia"/>
          <w:lang w:bidi="ar-SY"/>
        </w:rPr>
      </w:pPr>
      <w:r w:rsidRPr="00B17DFA">
        <w:rPr>
          <w:rFonts w:eastAsiaTheme="minorEastAsia"/>
          <w:rtl/>
          <w:lang w:bidi="ar-SY"/>
        </w:rPr>
        <w:t>حمام مائي 37 مئوية</w:t>
      </w:r>
    </w:p>
    <w:p w14:paraId="7AEB629D" w14:textId="77777777" w:rsidR="00B17DFA" w:rsidRPr="00B17DFA" w:rsidRDefault="00B17DFA" w:rsidP="00B17DFA">
      <w:pPr>
        <w:tabs>
          <w:tab w:val="right" w:pos="720"/>
        </w:tabs>
        <w:spacing w:after="120" w:line="276" w:lineRule="auto"/>
        <w:ind w:left="-138" w:right="-284"/>
        <w:jc w:val="both"/>
        <w:rPr>
          <w:rFonts w:eastAsiaTheme="minorEastAsia"/>
          <w:b/>
          <w:bCs/>
          <w:color w:val="1F3864" w:themeColor="accent1" w:themeShade="80"/>
          <w:sz w:val="26"/>
          <w:szCs w:val="26"/>
          <w:rtl/>
          <w:lang w:bidi="ar-SY"/>
        </w:rPr>
      </w:pPr>
      <w:r w:rsidRPr="00B17DFA">
        <w:rPr>
          <w:rFonts w:eastAsiaTheme="minorEastAsia"/>
          <w:b/>
          <w:bCs/>
          <w:color w:val="1F3864" w:themeColor="accent1" w:themeShade="80"/>
          <w:sz w:val="26"/>
          <w:szCs w:val="26"/>
          <w:rtl/>
          <w:lang w:bidi="ar-SY"/>
        </w:rPr>
        <w:t>طريقة العمل:</w:t>
      </w:r>
    </w:p>
    <w:p w14:paraId="33331CE5" w14:textId="77777777" w:rsidR="00B17DFA" w:rsidRPr="00B17DFA" w:rsidRDefault="00B17DFA" w:rsidP="00B17DFA">
      <w:pPr>
        <w:numPr>
          <w:ilvl w:val="0"/>
          <w:numId w:val="6"/>
        </w:numPr>
        <w:spacing w:after="120" w:line="276" w:lineRule="auto"/>
        <w:ind w:left="4" w:right="-284"/>
        <w:jc w:val="both"/>
        <w:rPr>
          <w:rFonts w:eastAsiaTheme="minorEastAsia"/>
          <w:lang w:bidi="ar-SY"/>
        </w:rPr>
      </w:pPr>
      <w:r w:rsidRPr="00B17DFA">
        <w:rPr>
          <w:rFonts w:eastAsiaTheme="minorEastAsia"/>
          <w:rtl/>
          <w:lang w:bidi="ar-SY"/>
        </w:rPr>
        <w:t>ضع في أنبوب اختبار زجاجي 2 مل من محلول الألبومين مع 3 مل من كاشف البيوريت.</w:t>
      </w:r>
    </w:p>
    <w:p w14:paraId="4AE83A68" w14:textId="77777777" w:rsidR="00B17DFA" w:rsidRPr="00B17DFA" w:rsidRDefault="00B17DFA" w:rsidP="00B17DFA">
      <w:pPr>
        <w:numPr>
          <w:ilvl w:val="0"/>
          <w:numId w:val="6"/>
        </w:numPr>
        <w:spacing w:after="120" w:line="276" w:lineRule="auto"/>
        <w:ind w:left="4" w:right="-284"/>
        <w:jc w:val="both"/>
        <w:rPr>
          <w:rFonts w:eastAsiaTheme="minorEastAsia"/>
          <w:lang w:bidi="ar-SY"/>
        </w:rPr>
      </w:pPr>
      <w:r w:rsidRPr="00B17DFA">
        <w:rPr>
          <w:rFonts w:eastAsiaTheme="minorEastAsia"/>
          <w:rtl/>
          <w:lang w:bidi="ar-SY"/>
        </w:rPr>
        <w:t>احضن الأنبوب في حمام مائي بالدرجة 37 مئوية لمدة 10 دقائق ولاحظ تشكل المعقد باللون البنفسجي</w:t>
      </w:r>
      <w:r w:rsidRPr="00B17DFA">
        <w:rPr>
          <w:rFonts w:eastAsiaTheme="minorEastAsia"/>
          <w:lang w:bidi="ar-SY"/>
        </w:rPr>
        <w:t>.</w:t>
      </w:r>
    </w:p>
    <w:p w14:paraId="4A1590FB" w14:textId="77777777" w:rsidR="00B17DFA" w:rsidRPr="00B17DFA" w:rsidRDefault="00B17DFA" w:rsidP="00B17DFA">
      <w:pPr>
        <w:numPr>
          <w:ilvl w:val="0"/>
          <w:numId w:val="6"/>
        </w:numPr>
        <w:spacing w:after="120" w:line="276" w:lineRule="auto"/>
        <w:ind w:left="4" w:right="-284"/>
        <w:jc w:val="both"/>
        <w:rPr>
          <w:rFonts w:eastAsiaTheme="minorEastAsia"/>
          <w:lang w:bidi="ar-SY"/>
        </w:rPr>
      </w:pPr>
      <w:r w:rsidRPr="00B17DFA">
        <w:rPr>
          <w:rFonts w:eastAsiaTheme="minorEastAsia"/>
          <w:rtl/>
          <w:lang w:bidi="ar-SY"/>
        </w:rPr>
        <w:t xml:space="preserve">حضر كوفيت الناصع </w:t>
      </w:r>
      <w:r w:rsidRPr="00B17DFA">
        <w:rPr>
          <w:rFonts w:eastAsiaTheme="minorEastAsia"/>
          <w:lang w:bidi="ar-SY"/>
        </w:rPr>
        <w:t>blank</w:t>
      </w:r>
      <w:r w:rsidRPr="00B17DFA">
        <w:rPr>
          <w:rFonts w:eastAsiaTheme="minorEastAsia"/>
          <w:rtl/>
          <w:lang w:bidi="ar-SY"/>
        </w:rPr>
        <w:t xml:space="preserve"> الحاوي على 2 مل ماء مقطر و3 مل كاشف البيوريت، وقم بتصفير الجهاز عليه.</w:t>
      </w:r>
    </w:p>
    <w:p w14:paraId="3867C7EC" w14:textId="77777777" w:rsidR="00B17DFA" w:rsidRPr="00B17DFA" w:rsidRDefault="00B17DFA" w:rsidP="00B17DFA">
      <w:pPr>
        <w:numPr>
          <w:ilvl w:val="0"/>
          <w:numId w:val="6"/>
        </w:numPr>
        <w:spacing w:after="120" w:line="276" w:lineRule="auto"/>
        <w:ind w:left="4" w:right="-284"/>
        <w:jc w:val="both"/>
        <w:rPr>
          <w:rFonts w:eastAsiaTheme="minorEastAsia"/>
          <w:lang w:bidi="ar-SY"/>
        </w:rPr>
      </w:pPr>
      <w:r w:rsidRPr="00B17DFA">
        <w:rPr>
          <w:rFonts w:eastAsiaTheme="minorEastAsia"/>
          <w:rtl/>
          <w:lang w:bidi="ar-SY"/>
        </w:rPr>
        <w:t>املأ الكوفيت بالمحلول الملون وقم بقياس الامتصاصية في جهاز السبيكتروفوتومتر، خذ عدة قياسات للامتصاصية في مجال أطوال الموجات 400-750 نانومتر.</w:t>
      </w:r>
    </w:p>
    <w:p w14:paraId="006D814E" w14:textId="77777777" w:rsidR="00B17DFA" w:rsidRPr="00B17DFA" w:rsidRDefault="00B17DFA" w:rsidP="00B17DFA">
      <w:pPr>
        <w:numPr>
          <w:ilvl w:val="0"/>
          <w:numId w:val="6"/>
        </w:numPr>
        <w:spacing w:after="120" w:line="276" w:lineRule="auto"/>
        <w:ind w:left="4" w:right="-284"/>
        <w:jc w:val="both"/>
        <w:rPr>
          <w:rFonts w:eastAsiaTheme="minorEastAsia"/>
          <w:lang w:bidi="ar-SY"/>
        </w:rPr>
      </w:pPr>
      <w:r w:rsidRPr="00B17DFA">
        <w:rPr>
          <w:rFonts w:eastAsiaTheme="minorEastAsia"/>
          <w:rtl/>
          <w:lang w:bidi="ar-SY"/>
        </w:rPr>
        <w:t>ارسم منحني الامتصاصية بدلالة طول الموجة.</w:t>
      </w:r>
    </w:p>
    <w:p w14:paraId="04063547" w14:textId="77777777" w:rsidR="00B17DFA" w:rsidRPr="00B17DFA" w:rsidRDefault="00B17DFA" w:rsidP="00B17DFA">
      <w:pPr>
        <w:spacing w:after="120" w:line="276" w:lineRule="auto"/>
        <w:ind w:right="-284"/>
        <w:jc w:val="both"/>
        <w:rPr>
          <w:rFonts w:ascii="Simplified Arabic" w:eastAsiaTheme="minorEastAsia" w:hAnsi="Simplified Arabic" w:cs="Simplified Arabic"/>
          <w:sz w:val="28"/>
          <w:szCs w:val="28"/>
          <w:rtl/>
          <w:lang w:bidi="ar-SY"/>
        </w:rPr>
      </w:pPr>
    </w:p>
    <w:p w14:paraId="1C8CFE9E" w14:textId="77777777" w:rsidR="00B17DFA" w:rsidRPr="00FD6383" w:rsidRDefault="00B17DFA" w:rsidP="00855B13">
      <w:pPr>
        <w:rPr>
          <w:rtl/>
          <w:lang w:bidi="ar-SY"/>
        </w:rPr>
      </w:pPr>
    </w:p>
    <w:p w14:paraId="195BA46F" w14:textId="77777777" w:rsidR="00AC0DE1" w:rsidRPr="00446A4B" w:rsidRDefault="00AC0DE1" w:rsidP="00D05624"/>
    <w:sectPr w:rsidR="00AC0DE1" w:rsidRPr="00446A4B"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0219" w14:textId="77777777" w:rsidR="00D36F81" w:rsidRDefault="00D36F81" w:rsidP="00D05624">
      <w:r>
        <w:separator/>
      </w:r>
    </w:p>
  </w:endnote>
  <w:endnote w:type="continuationSeparator" w:id="0">
    <w:p w14:paraId="07B674F1" w14:textId="77777777" w:rsidR="00D36F81" w:rsidRDefault="00D36F81"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A37B" w14:textId="77777777" w:rsidR="00D36F81" w:rsidRDefault="00D36F81" w:rsidP="00D05624">
      <w:r>
        <w:separator/>
      </w:r>
    </w:p>
  </w:footnote>
  <w:footnote w:type="continuationSeparator" w:id="0">
    <w:p w14:paraId="3B467951" w14:textId="77777777" w:rsidR="00D36F81" w:rsidRDefault="00D36F81"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4C4E07">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w:t>
    </w:r>
    <w:r w:rsidRPr="005B4EF4">
      <w:rPr>
        <w:rFonts w:hint="cs"/>
        <w:sz w:val="28"/>
        <w:szCs w:val="28"/>
        <w:rtl/>
      </w:rPr>
      <w:t>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B01014"/>
    <w:multiLevelType w:val="hybridMultilevel"/>
    <w:tmpl w:val="F6DA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A4068"/>
    <w:multiLevelType w:val="hybridMultilevel"/>
    <w:tmpl w:val="155A6E10"/>
    <w:lvl w:ilvl="0" w:tplc="04090005">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3" w15:restartNumberingAfterBreak="0">
    <w:nsid w:val="4BBB0C16"/>
    <w:multiLevelType w:val="hybridMultilevel"/>
    <w:tmpl w:val="9CE82212"/>
    <w:lvl w:ilvl="0" w:tplc="04090005">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5BD54583"/>
    <w:multiLevelType w:val="hybridMultilevel"/>
    <w:tmpl w:val="D0F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0"/>
  </w:num>
  <w:num w:numId="2" w16cid:durableId="119960233">
    <w:abstractNumId w:val="5"/>
  </w:num>
  <w:num w:numId="3" w16cid:durableId="217057474">
    <w:abstractNumId w:val="3"/>
  </w:num>
  <w:num w:numId="4" w16cid:durableId="1364553082">
    <w:abstractNumId w:val="2"/>
  </w:num>
  <w:num w:numId="5" w16cid:durableId="2076656186">
    <w:abstractNumId w:val="4"/>
  </w:num>
  <w:num w:numId="6" w16cid:durableId="1619336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11D0"/>
    <w:rsid w:val="000B6526"/>
    <w:rsid w:val="00137DC0"/>
    <w:rsid w:val="001579D9"/>
    <w:rsid w:val="00167CE4"/>
    <w:rsid w:val="0017222F"/>
    <w:rsid w:val="00187BB0"/>
    <w:rsid w:val="00300C7F"/>
    <w:rsid w:val="003E1627"/>
    <w:rsid w:val="00446A4B"/>
    <w:rsid w:val="0049227E"/>
    <w:rsid w:val="004C4E07"/>
    <w:rsid w:val="004D06C8"/>
    <w:rsid w:val="005B4EF4"/>
    <w:rsid w:val="005F696B"/>
    <w:rsid w:val="00664A51"/>
    <w:rsid w:val="006E55D8"/>
    <w:rsid w:val="00701B29"/>
    <w:rsid w:val="00727C27"/>
    <w:rsid w:val="0083168D"/>
    <w:rsid w:val="00847301"/>
    <w:rsid w:val="00855B13"/>
    <w:rsid w:val="00913659"/>
    <w:rsid w:val="009C0A33"/>
    <w:rsid w:val="00A057F2"/>
    <w:rsid w:val="00A51C9E"/>
    <w:rsid w:val="00A6175F"/>
    <w:rsid w:val="00A66825"/>
    <w:rsid w:val="00AB411C"/>
    <w:rsid w:val="00AC0DE1"/>
    <w:rsid w:val="00B17DFA"/>
    <w:rsid w:val="00BB2074"/>
    <w:rsid w:val="00C451AF"/>
    <w:rsid w:val="00D05624"/>
    <w:rsid w:val="00D36F81"/>
    <w:rsid w:val="00D444C3"/>
    <w:rsid w:val="00D62DD4"/>
    <w:rsid w:val="00D8744D"/>
    <w:rsid w:val="00DA5A58"/>
    <w:rsid w:val="00DA5EDB"/>
    <w:rsid w:val="00DC2F28"/>
    <w:rsid w:val="00E03332"/>
    <w:rsid w:val="00E10D7E"/>
    <w:rsid w:val="00E926F6"/>
    <w:rsid w:val="00EE29E3"/>
    <w:rsid w:val="00F17418"/>
    <w:rsid w:val="00FB0262"/>
    <w:rsid w:val="00FD6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7</cp:revision>
  <cp:lastPrinted>2023-05-02T06:37:00Z</cp:lastPrinted>
  <dcterms:created xsi:type="dcterms:W3CDTF">2023-05-03T09:14:00Z</dcterms:created>
  <dcterms:modified xsi:type="dcterms:W3CDTF">2023-05-10T06:57:00Z</dcterms:modified>
</cp:coreProperties>
</file>