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18BF334" w14:textId="4826294A" w:rsidR="00446A4B" w:rsidRDefault="00446A4B" w:rsidP="0019630F">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3246DA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الحيوية2</w:t>
      </w:r>
    </w:p>
    <w:p w14:paraId="7B8DC8B7" w14:textId="7019615F"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05CB7">
        <w:rPr>
          <w:rFonts w:ascii="Sakkal Majalla" w:hAnsi="Sakkal Majalla" w:cs="Sakkal Majalla"/>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1E1247A" w:rsidR="009C0A33" w:rsidRPr="004D06C8" w:rsidRDefault="00E05CB7" w:rsidP="00E05CB7">
      <w:pPr>
        <w:pStyle w:val="Heading1"/>
        <w:rPr>
          <w:rFonts w:ascii="Sakkal Majalla" w:hAnsi="Sakkal Majalla" w:cs="Sakkal Majalla"/>
        </w:rPr>
      </w:pPr>
      <w:r>
        <w:rPr>
          <w:rFonts w:ascii="Sakkal Majalla" w:hAnsi="Sakkal Majalla" w:cs="Sakkal Majalla" w:hint="cs"/>
          <w:rtl/>
        </w:rPr>
        <w:t xml:space="preserve">حمض البول </w:t>
      </w:r>
      <w:r>
        <w:rPr>
          <w:rFonts w:ascii="Sakkal Majalla" w:hAnsi="Sakkal Majalla" w:cs="Sakkal Majalla"/>
        </w:rPr>
        <w:t>Uric acid</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1F1D82E" w:rsidR="00EE29E3" w:rsidRPr="00EE29E3" w:rsidRDefault="00EE29E3" w:rsidP="00EE29E3">
      <w:pPr>
        <w:rPr>
          <w:b/>
          <w:bCs/>
        </w:rPr>
      </w:pPr>
      <w:r w:rsidRPr="00EE29E3">
        <w:rPr>
          <w:rFonts w:hint="cs"/>
          <w:b/>
          <w:bCs/>
          <w:rtl/>
        </w:rPr>
        <w:t xml:space="preserve">الفصل الدراسي </w:t>
      </w:r>
      <w:r w:rsidR="0019630F">
        <w:rPr>
          <w:rFonts w:hint="cs"/>
          <w:b/>
          <w:bCs/>
          <w:rtl/>
          <w:lang w:bidi="ar-SY"/>
        </w:rPr>
        <w:t>الثاني</w:t>
      </w:r>
      <w:r w:rsidRPr="00EE29E3">
        <w:rPr>
          <w:rFonts w:hint="cs"/>
          <w:b/>
          <w:bCs/>
          <w:rtl/>
        </w:rPr>
        <w:t xml:space="preserve">                                                                                       </w:t>
      </w:r>
      <w:r w:rsidR="0019630F">
        <w:rPr>
          <w:b/>
          <w:bCs/>
        </w:rPr>
        <w:t xml:space="preserve">                 </w:t>
      </w:r>
      <w:r w:rsidRPr="00EE29E3">
        <w:rPr>
          <w:rFonts w:hint="cs"/>
          <w:b/>
          <w:bCs/>
          <w:rtl/>
        </w:rPr>
        <w:t xml:space="preserve">                                                    العام الدراسي</w:t>
      </w:r>
      <w:r w:rsidR="0019630F">
        <w:rPr>
          <w:b/>
          <w:bCs/>
        </w:rPr>
        <w:t>2022-2023</w:t>
      </w:r>
    </w:p>
    <w:p w14:paraId="1CD942BA" w14:textId="77777777" w:rsidR="0019630F" w:rsidRDefault="0019630F" w:rsidP="00BB2074">
      <w:pPr>
        <w:pStyle w:val="Title"/>
        <w:rPr>
          <w:rFonts w:ascii="Sakkal Majalla" w:hAnsi="Sakkal Majalla" w:cs="Sakkal Majalla"/>
          <w:rtl/>
        </w:rPr>
      </w:pPr>
    </w:p>
    <w:p w14:paraId="61BA6A3D" w14:textId="27C71E11"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816A327"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w:t>
            </w:r>
            <w:r w:rsidR="005E78E7">
              <w:rPr>
                <w:rFonts w:ascii="Sakkal Majalla" w:hAnsi="Sakkal Majalla" w:cs="Sakkal Majalla" w:hint="cs"/>
                <w:rtl/>
              </w:rPr>
              <w:t>لقسم النظري</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2285E57" w:rsidR="00855B13" w:rsidRPr="00446A4B" w:rsidRDefault="005E78E7" w:rsidP="00D05624">
            <w:pPr>
              <w:pStyle w:val="Title"/>
              <w:rPr>
                <w:rFonts w:ascii="Sakkal Majalla" w:hAnsi="Sakkal Majalla" w:cs="Sakkal Majalla"/>
                <w:rtl/>
              </w:rPr>
            </w:pPr>
            <w:r>
              <w:rPr>
                <w:rFonts w:ascii="Sakkal Majalla" w:hAnsi="Sakkal Majalla" w:cs="Sakkal Majalla" w:hint="cs"/>
                <w:rtl/>
              </w:rPr>
              <w:t>التطبيق السريري</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9F44DCB" w:rsidR="00855B13" w:rsidRPr="00446A4B" w:rsidRDefault="005E78E7" w:rsidP="00D05624">
            <w:pPr>
              <w:pStyle w:val="Title"/>
              <w:rPr>
                <w:rFonts w:ascii="Sakkal Majalla" w:hAnsi="Sakkal Majalla" w:cs="Sakkal Majalla"/>
                <w:rtl/>
              </w:rPr>
            </w:pPr>
            <w:r>
              <w:rPr>
                <w:rFonts w:ascii="Sakkal Majalla" w:hAnsi="Sakkal Majalla" w:cs="Sakkal Majalla" w:hint="cs"/>
                <w:rtl/>
              </w:rPr>
              <w:t xml:space="preserve">ارتفاع تركيز حمض البول في الدم </w:t>
            </w:r>
            <w:r w:rsidRPr="00DC30F6">
              <w:rPr>
                <w:rFonts w:ascii="Sakkal Majalla" w:eastAsiaTheme="minorEastAsia" w:hAnsi="Sakkal Majalla" w:cs="Sakkal Majalla"/>
                <w:b w:val="0"/>
                <w:bCs w:val="0"/>
                <w:color w:val="auto"/>
                <w:sz w:val="52"/>
              </w:rPr>
              <w:t>Hyperuricemia</w:t>
            </w:r>
          </w:p>
        </w:tc>
        <w:tc>
          <w:tcPr>
            <w:tcW w:w="1553" w:type="dxa"/>
          </w:tcPr>
          <w:p w14:paraId="1511773D" w14:textId="31C44DB1"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2BDD9F0F" w:rsidR="00855B13" w:rsidRPr="00446A4B" w:rsidRDefault="00063390" w:rsidP="00D05624">
            <w:pPr>
              <w:pStyle w:val="Title"/>
              <w:rPr>
                <w:rFonts w:ascii="Sakkal Majalla" w:hAnsi="Sakkal Majalla" w:cs="Sakkal Majalla"/>
                <w:rtl/>
              </w:rPr>
            </w:pPr>
            <w:r>
              <w:rPr>
                <w:rFonts w:ascii="Sakkal Majalla" w:hAnsi="Sakkal Majalla" w:cs="Sakkal Majalla" w:hint="cs"/>
                <w:rtl/>
              </w:rPr>
              <w:t>داء النقرس (داء ال</w:t>
            </w:r>
            <w:r w:rsidR="00DC30F6">
              <w:rPr>
                <w:rFonts w:ascii="Sakkal Majalla" w:hAnsi="Sakkal Majalla" w:cs="Sakkal Majalla" w:hint="cs"/>
                <w:rtl/>
              </w:rPr>
              <w:t>ملوك</w:t>
            </w:r>
            <w:r>
              <w:rPr>
                <w:rFonts w:ascii="Sakkal Majalla" w:hAnsi="Sakkal Majalla" w:cs="Sakkal Majalla" w:hint="cs"/>
                <w:rtl/>
              </w:rPr>
              <w:t>)</w:t>
            </w:r>
          </w:p>
        </w:tc>
        <w:tc>
          <w:tcPr>
            <w:tcW w:w="1553" w:type="dxa"/>
          </w:tcPr>
          <w:p w14:paraId="52E59292" w14:textId="52E54FB3" w:rsidR="00855B13" w:rsidRPr="00446A4B" w:rsidRDefault="00A66825" w:rsidP="00D05624">
            <w:pPr>
              <w:pStyle w:val="Title"/>
              <w:rPr>
                <w:rFonts w:ascii="Sakkal Majalla" w:hAnsi="Sakkal Majalla" w:cs="Sakkal Majalla"/>
                <w:rtl/>
              </w:rPr>
            </w:pPr>
            <w:r>
              <w:rPr>
                <w:rFonts w:ascii="Sakkal Majalla" w:hAnsi="Sakkal Majalla" w:cs="Sakkal Majalla" w:hint="cs"/>
                <w:rtl/>
              </w:rPr>
              <w:t>4</w:t>
            </w:r>
          </w:p>
        </w:tc>
      </w:tr>
      <w:tr w:rsidR="00063390" w:rsidRPr="00446A4B" w14:paraId="61CA7CB4" w14:textId="77777777" w:rsidTr="00855B13">
        <w:tc>
          <w:tcPr>
            <w:tcW w:w="7463" w:type="dxa"/>
          </w:tcPr>
          <w:p w14:paraId="0F1642CA" w14:textId="2577161F" w:rsidR="00063390" w:rsidRDefault="00DC30F6" w:rsidP="00D05624">
            <w:pPr>
              <w:pStyle w:val="Title"/>
              <w:rPr>
                <w:rFonts w:ascii="Sakkal Majalla" w:hAnsi="Sakkal Majalla" w:cs="Sakkal Majalla"/>
                <w:rtl/>
              </w:rPr>
            </w:pPr>
            <w:r>
              <w:rPr>
                <w:rFonts w:ascii="Sakkal Majalla" w:hAnsi="Sakkal Majalla" w:cs="Sakkal Majalla" w:hint="cs"/>
                <w:rtl/>
              </w:rPr>
              <w:t xml:space="preserve">انخفاض تركيز حمض البول في الدم </w:t>
            </w:r>
            <w:r w:rsidRPr="00DC30F6">
              <w:rPr>
                <w:rFonts w:ascii="Sakkal Majalla" w:eastAsiaTheme="minorEastAsia" w:hAnsi="Sakkal Majalla" w:cs="Sakkal Majalla"/>
                <w:b w:val="0"/>
                <w:bCs w:val="0"/>
                <w:color w:val="auto"/>
                <w:sz w:val="52"/>
              </w:rPr>
              <w:t>Hypouricemia</w:t>
            </w:r>
          </w:p>
        </w:tc>
        <w:tc>
          <w:tcPr>
            <w:tcW w:w="1553" w:type="dxa"/>
          </w:tcPr>
          <w:p w14:paraId="640D001E" w14:textId="00CEB445" w:rsidR="00063390" w:rsidRDefault="00DC30F6" w:rsidP="00D05624">
            <w:pPr>
              <w:pStyle w:val="Title"/>
              <w:rPr>
                <w:rFonts w:ascii="Sakkal Majalla" w:hAnsi="Sakkal Majalla" w:cs="Sakkal Majalla"/>
                <w:rtl/>
              </w:rPr>
            </w:pPr>
            <w:r>
              <w:rPr>
                <w:rFonts w:ascii="Sakkal Majalla" w:hAnsi="Sakkal Majalla" w:cs="Sakkal Majalla" w:hint="cs"/>
                <w:rtl/>
              </w:rPr>
              <w:t>4</w:t>
            </w:r>
          </w:p>
        </w:tc>
      </w:tr>
      <w:tr w:rsidR="00063390" w:rsidRPr="00446A4B" w14:paraId="035200A0" w14:textId="77777777" w:rsidTr="00855B13">
        <w:tc>
          <w:tcPr>
            <w:tcW w:w="7463" w:type="dxa"/>
          </w:tcPr>
          <w:p w14:paraId="301EDE42" w14:textId="73590562" w:rsidR="00063390" w:rsidRDefault="00DC30F6" w:rsidP="00D05624">
            <w:pPr>
              <w:pStyle w:val="Title"/>
              <w:rPr>
                <w:rFonts w:ascii="Sakkal Majalla" w:hAnsi="Sakkal Majalla" w:cs="Sakkal Majalla"/>
                <w:rtl/>
              </w:rPr>
            </w:pPr>
            <w:r>
              <w:rPr>
                <w:rFonts w:ascii="Sakkal Majalla" w:hAnsi="Sakkal Majalla" w:cs="Sakkal Majalla" w:hint="cs"/>
                <w:rtl/>
              </w:rPr>
              <w:t xml:space="preserve">القيم المرجعية- العينات </w:t>
            </w:r>
            <w:r>
              <w:rPr>
                <w:rFonts w:ascii="Sakkal Majalla" w:hAnsi="Sakkal Majalla" w:cs="Sakkal Majalla"/>
                <w:rtl/>
              </w:rPr>
              <w:t>–</w:t>
            </w:r>
            <w:r>
              <w:rPr>
                <w:rFonts w:ascii="Sakkal Majalla" w:hAnsi="Sakkal Majalla" w:cs="Sakkal Majalla" w:hint="cs"/>
                <w:rtl/>
              </w:rPr>
              <w:t xml:space="preserve"> مبادئ معايرة حمض البول</w:t>
            </w:r>
          </w:p>
        </w:tc>
        <w:tc>
          <w:tcPr>
            <w:tcW w:w="1553" w:type="dxa"/>
          </w:tcPr>
          <w:p w14:paraId="2B414DCA" w14:textId="39307E8F" w:rsidR="00063390" w:rsidRDefault="00DC30F6" w:rsidP="00D05624">
            <w:pPr>
              <w:pStyle w:val="Title"/>
              <w:rPr>
                <w:rFonts w:ascii="Sakkal Majalla" w:hAnsi="Sakkal Majalla" w:cs="Sakkal Majalla"/>
                <w:rtl/>
              </w:rPr>
            </w:pPr>
            <w:r>
              <w:rPr>
                <w:rFonts w:ascii="Sakkal Majalla" w:hAnsi="Sakkal Majalla" w:cs="Sakkal Majalla" w:hint="cs"/>
                <w:rtl/>
              </w:rPr>
              <w:t>4</w:t>
            </w:r>
          </w:p>
        </w:tc>
      </w:tr>
      <w:tr w:rsidR="00063390" w:rsidRPr="00446A4B" w14:paraId="1DC8A3EC" w14:textId="77777777" w:rsidTr="00855B13">
        <w:tc>
          <w:tcPr>
            <w:tcW w:w="7463" w:type="dxa"/>
          </w:tcPr>
          <w:p w14:paraId="7BEE9D1D" w14:textId="2F32D17C" w:rsidR="00063390" w:rsidRDefault="00DC30F6" w:rsidP="00D05624">
            <w:pPr>
              <w:pStyle w:val="Title"/>
              <w:rPr>
                <w:rFonts w:ascii="Sakkal Majalla" w:hAnsi="Sakkal Majalla" w:cs="Sakkal Majalla"/>
                <w:rtl/>
              </w:rPr>
            </w:pPr>
            <w:r>
              <w:rPr>
                <w:rFonts w:ascii="Sakkal Majalla" w:hAnsi="Sakkal Majalla" w:cs="Sakkal Majalla" w:hint="cs"/>
                <w:rtl/>
              </w:rPr>
              <w:t xml:space="preserve">القسم العملي </w:t>
            </w:r>
          </w:p>
        </w:tc>
        <w:tc>
          <w:tcPr>
            <w:tcW w:w="1553" w:type="dxa"/>
          </w:tcPr>
          <w:p w14:paraId="0C0E5B13" w14:textId="4B9B5D89" w:rsidR="00063390" w:rsidRDefault="00DC30F6" w:rsidP="00D05624">
            <w:pPr>
              <w:pStyle w:val="Title"/>
              <w:rPr>
                <w:rFonts w:ascii="Sakkal Majalla" w:hAnsi="Sakkal Majalla" w:cs="Sakkal Majalla"/>
                <w:rtl/>
              </w:rPr>
            </w:pPr>
            <w:r>
              <w:rPr>
                <w:rFonts w:ascii="Sakkal Majalla" w:hAnsi="Sakkal Majalla" w:cs="Sakkal Majalla" w:hint="cs"/>
                <w:rtl/>
              </w:rPr>
              <w:t>6</w:t>
            </w:r>
          </w:p>
        </w:tc>
      </w:tr>
    </w:tbl>
    <w:p w14:paraId="0053EB70" w14:textId="77777777" w:rsidR="00DC30F6" w:rsidRDefault="00DC30F6" w:rsidP="00D05624">
      <w:pPr>
        <w:pStyle w:val="Heading2"/>
        <w:rPr>
          <w:rFonts w:ascii="Sakkal Majalla" w:hAnsi="Sakkal Majalla" w:cs="Sakkal Majalla"/>
          <w:rtl/>
        </w:rPr>
      </w:pPr>
      <w:bookmarkStart w:id="0" w:name="_Toc133308112"/>
    </w:p>
    <w:p w14:paraId="305EBFB8" w14:textId="77777777" w:rsidR="00DC30F6" w:rsidRPr="00DC30F6" w:rsidRDefault="00DC30F6" w:rsidP="00DC30F6">
      <w:pPr>
        <w:rPr>
          <w:rtl/>
          <w:lang w:bidi="ar-SY"/>
        </w:rPr>
      </w:pPr>
    </w:p>
    <w:p w14:paraId="603A8FF0" w14:textId="77777777" w:rsidR="00DC30F6" w:rsidRDefault="00DC30F6" w:rsidP="00D05624">
      <w:pPr>
        <w:pStyle w:val="Heading2"/>
        <w:rPr>
          <w:rFonts w:ascii="Sakkal Majalla" w:hAnsi="Sakkal Majalla" w:cs="Sakkal Majalla"/>
          <w:rtl/>
        </w:rPr>
      </w:pPr>
    </w:p>
    <w:p w14:paraId="3959844E" w14:textId="77777777" w:rsidR="00DC30F6" w:rsidRDefault="00DC30F6" w:rsidP="00D05624">
      <w:pPr>
        <w:pStyle w:val="Heading2"/>
        <w:rPr>
          <w:rFonts w:ascii="Sakkal Majalla" w:hAnsi="Sakkal Majalla" w:cs="Sakkal Majalla"/>
          <w:rtl/>
        </w:rPr>
      </w:pPr>
    </w:p>
    <w:p w14:paraId="2B5A7F6E" w14:textId="41B0DEA0" w:rsidR="00847301" w:rsidRPr="00446A4B" w:rsidRDefault="00847301" w:rsidP="00D05624">
      <w:pPr>
        <w:pStyle w:val="Heading2"/>
        <w:rPr>
          <w:rFonts w:ascii="Sakkal Majalla" w:hAnsi="Sakkal Majalla" w:cs="Sakkal Majalla"/>
          <w:rtl/>
        </w:rPr>
      </w:pPr>
      <w:r w:rsidRPr="00446A4B">
        <w:rPr>
          <w:rFonts w:ascii="Sakkal Majalla" w:hAnsi="Sakkal Majalla" w:cs="Sakkal Majalla"/>
          <w:rtl/>
        </w:rPr>
        <w:t>الغاية من الجلسة:</w:t>
      </w:r>
      <w:bookmarkEnd w:id="0"/>
    </w:p>
    <w:p w14:paraId="49D77427" w14:textId="614DC5CF" w:rsidR="00847301" w:rsidRPr="00446A4B" w:rsidRDefault="004D06C8" w:rsidP="00E05CB7">
      <w:pPr>
        <w:rPr>
          <w:rtl/>
          <w:lang w:bidi="ar-SY"/>
        </w:rPr>
      </w:pPr>
      <w:r>
        <w:rPr>
          <w:rFonts w:hint="cs"/>
          <w:rtl/>
        </w:rPr>
        <w:t xml:space="preserve">التعريف </w:t>
      </w:r>
      <w:r w:rsidR="00E05CB7">
        <w:rPr>
          <w:rFonts w:hint="cs"/>
          <w:rtl/>
          <w:lang w:bidi="ar-SY"/>
        </w:rPr>
        <w:t>بحمض البول وطرق معايرته واضطرابات استقلابه في الجسم .</w:t>
      </w:r>
    </w:p>
    <w:p w14:paraId="698FEA29" w14:textId="65D460F7" w:rsidR="00847301" w:rsidRPr="00446A4B" w:rsidRDefault="00E05CB7" w:rsidP="00E05CB7">
      <w:pPr>
        <w:pStyle w:val="Heading2"/>
        <w:rPr>
          <w:rFonts w:ascii="Sakkal Majalla" w:hAnsi="Sakkal Majalla" w:cs="Sakkal Majalla"/>
          <w:rtl/>
        </w:rPr>
      </w:pPr>
      <w:bookmarkStart w:id="1" w:name="_Toc133308113"/>
      <w:r>
        <w:rPr>
          <w:rFonts w:ascii="Sakkal Majalla" w:hAnsi="Sakkal Majalla" w:cs="Sakkal Majalla" w:hint="cs"/>
          <w:rtl/>
        </w:rPr>
        <w:t xml:space="preserve">القسم النظري </w:t>
      </w:r>
      <w:bookmarkEnd w:id="1"/>
      <w:r>
        <w:rPr>
          <w:rFonts w:ascii="Sakkal Majalla" w:hAnsi="Sakkal Majalla" w:cs="Sakkal Majalla" w:hint="cs"/>
          <w:rtl/>
        </w:rPr>
        <w:t>:</w:t>
      </w:r>
    </w:p>
    <w:p w14:paraId="1D4DBB54" w14:textId="7DF48345" w:rsidR="00E05CB7" w:rsidRDefault="00EB5CAD" w:rsidP="00E05CB7">
      <w:pPr>
        <w:spacing w:after="120" w:line="276" w:lineRule="auto"/>
        <w:ind w:left="-279" w:right="-284"/>
        <w:jc w:val="both"/>
        <w:rPr>
          <w:rFonts w:eastAsiaTheme="minorEastAsia"/>
          <w:rtl/>
          <w:lang w:bidi="ar-SY"/>
        </w:rPr>
      </w:pPr>
      <w:r w:rsidRPr="00E05CB7">
        <w:rPr>
          <w:rFonts w:eastAsiaTheme="minorEastAsia"/>
          <w:noProof/>
          <w:rtl/>
          <w:lang w:val="en-GB" w:eastAsia="en-GB"/>
        </w:rPr>
        <w:drawing>
          <wp:anchor distT="0" distB="0" distL="114300" distR="114300" simplePos="0" relativeHeight="251663360" behindDoc="0" locked="0" layoutInCell="1" allowOverlap="1" wp14:anchorId="4A184A99" wp14:editId="1618491D">
            <wp:simplePos x="0" y="0"/>
            <wp:positionH relativeFrom="margin">
              <wp:posOffset>712264</wp:posOffset>
            </wp:positionH>
            <wp:positionV relativeFrom="paragraph">
              <wp:posOffset>1342966</wp:posOffset>
            </wp:positionV>
            <wp:extent cx="4584700" cy="763270"/>
            <wp:effectExtent l="0" t="0" r="635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63270"/>
                    </a:xfrm>
                    <a:prstGeom prst="rect">
                      <a:avLst/>
                    </a:prstGeom>
                    <a:noFill/>
                  </pic:spPr>
                </pic:pic>
              </a:graphicData>
            </a:graphic>
            <wp14:sizeRelH relativeFrom="page">
              <wp14:pctWidth>0</wp14:pctWidth>
            </wp14:sizeRelH>
            <wp14:sizeRelV relativeFrom="page">
              <wp14:pctHeight>0</wp14:pctHeight>
            </wp14:sizeRelV>
          </wp:anchor>
        </w:drawing>
      </w:r>
      <w:r w:rsidR="00E05CB7" w:rsidRPr="00E05CB7">
        <w:rPr>
          <w:rFonts w:eastAsiaTheme="minorEastAsia"/>
          <w:rtl/>
          <w:lang w:bidi="ar-SY"/>
        </w:rPr>
        <w:t xml:space="preserve">تتحطم النكليوتيدات البورينية </w:t>
      </w:r>
      <w:r w:rsidR="00E05CB7" w:rsidRPr="00E05CB7">
        <w:rPr>
          <w:rFonts w:eastAsiaTheme="minorEastAsia"/>
          <w:lang w:bidi="ar-SY"/>
        </w:rPr>
        <w:t>Purines</w:t>
      </w:r>
      <w:r w:rsidR="00E05CB7" w:rsidRPr="00E05CB7">
        <w:rPr>
          <w:rFonts w:eastAsiaTheme="minorEastAsia"/>
          <w:rtl/>
          <w:lang w:bidi="ar-SY"/>
        </w:rPr>
        <w:t xml:space="preserve"> التي تدخل في الاستقلاب لتتحول إلى حمض البول مروراً بالكزانتين، ويتحول حمض البول صعب الانحلال بالماء عند معظم الثدييات إلى ألانتوين سهل الانحلال وذلك بوجود أنزيم </w:t>
      </w:r>
      <w:r w:rsidR="00E05CB7" w:rsidRPr="00E05CB7">
        <w:rPr>
          <w:rFonts w:eastAsiaTheme="minorEastAsia"/>
          <w:lang w:bidi="ar-SY"/>
        </w:rPr>
        <w:t>uricase</w:t>
      </w:r>
      <w:r w:rsidR="00E05CB7" w:rsidRPr="00E05CB7">
        <w:rPr>
          <w:rFonts w:eastAsiaTheme="minorEastAsia"/>
          <w:rtl/>
          <w:lang w:bidi="ar-SY"/>
        </w:rPr>
        <w:t xml:space="preserve"> ثم يفرغ بسهولة في البول. أما عند الإنسان لا يوجد أنزيم </w:t>
      </w:r>
      <w:r w:rsidR="00E05CB7" w:rsidRPr="00E05CB7">
        <w:rPr>
          <w:rFonts w:eastAsiaTheme="minorEastAsia"/>
          <w:lang w:bidi="ar-SY"/>
        </w:rPr>
        <w:t>uricase</w:t>
      </w:r>
      <w:r w:rsidR="00E05CB7" w:rsidRPr="00E05CB7">
        <w:rPr>
          <w:rFonts w:eastAsiaTheme="minorEastAsia"/>
          <w:rtl/>
          <w:lang w:bidi="ar-SY"/>
        </w:rPr>
        <w:t xml:space="preserve"> اللازم لهذه الأكسدة، لذا يعد حمض البول الناتج النهائي لاستقلاب الأسس البورينية. تأتي هذه النكليوتيدات البورينية من الغذاء أو من تحطم الأنسجة في الجسم. يتم إعادة امتصاص حوالي 90% من حمض البول المطروح عبر الكلى. حمض البول غير منحل في الدم، وفي حال ارتفاع تراكيزه</w:t>
      </w:r>
      <w:r>
        <w:rPr>
          <w:rFonts w:eastAsiaTheme="minorEastAsia" w:hint="cs"/>
          <w:rtl/>
          <w:lang w:bidi="ar-SY"/>
        </w:rPr>
        <w:t xml:space="preserve"> أكبر من</w:t>
      </w:r>
      <w:r w:rsidR="00E05CB7" w:rsidRPr="00E05CB7">
        <w:rPr>
          <w:rFonts w:eastAsiaTheme="minorEastAsia"/>
          <w:rtl/>
          <w:lang w:bidi="ar-SY"/>
        </w:rPr>
        <w:t xml:space="preserve"> 6.8 </w:t>
      </w:r>
      <w:r w:rsidR="00E05CB7" w:rsidRPr="00E05CB7">
        <w:rPr>
          <w:rFonts w:eastAsiaTheme="minorEastAsia"/>
          <w:lang w:bidi="ar-SY"/>
        </w:rPr>
        <w:t>mg/dL</w:t>
      </w:r>
      <w:r w:rsidR="00E05CB7" w:rsidRPr="00E05CB7">
        <w:rPr>
          <w:rFonts w:eastAsiaTheme="minorEastAsia"/>
          <w:rtl/>
          <w:lang w:bidi="ar-SY"/>
        </w:rPr>
        <w:t xml:space="preserve">  يترسب في المفاصل والأنسجة مسبباً التهاباً فيها.</w:t>
      </w:r>
      <w:r>
        <w:rPr>
          <w:rFonts w:eastAsiaTheme="minorEastAsia" w:hint="cs"/>
          <w:rtl/>
          <w:lang w:bidi="ar-SY"/>
        </w:rPr>
        <w:t xml:space="preserve">  </w:t>
      </w:r>
    </w:p>
    <w:p w14:paraId="02CC3A89"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EB5CAD">
        <w:rPr>
          <w:rFonts w:eastAsiaTheme="minorEastAsia"/>
          <w:b/>
          <w:bCs/>
          <w:color w:val="1F3864" w:themeColor="accent1" w:themeShade="80"/>
          <w:sz w:val="26"/>
          <w:szCs w:val="26"/>
          <w:rtl/>
          <w:lang w:bidi="ar-SY"/>
        </w:rPr>
        <w:t>التطبيق السريري:</w:t>
      </w:r>
    </w:p>
    <w:p w14:paraId="6FEE42D4"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تتم معايرة حمض البول للأغراض التالية</w:t>
      </w:r>
      <w:r w:rsidRPr="00EB5CAD">
        <w:rPr>
          <w:rFonts w:eastAsiaTheme="minorEastAsia"/>
          <w:lang w:bidi="ar-SY"/>
        </w:rPr>
        <w:t>:</w:t>
      </w:r>
    </w:p>
    <w:p w14:paraId="2286AD8A"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1</w:t>
      </w:r>
      <w:r w:rsidRPr="00EB5CAD">
        <w:rPr>
          <w:rFonts w:eastAsiaTheme="minorEastAsia"/>
          <w:lang w:bidi="ar-SY"/>
        </w:rPr>
        <w:t>.</w:t>
      </w:r>
      <w:r w:rsidRPr="00EB5CAD">
        <w:rPr>
          <w:rFonts w:eastAsiaTheme="minorEastAsia"/>
          <w:lang w:bidi="ar-SY"/>
        </w:rPr>
        <w:tab/>
      </w:r>
      <w:r w:rsidRPr="00EB5CAD">
        <w:rPr>
          <w:rFonts w:eastAsiaTheme="minorEastAsia"/>
          <w:rtl/>
          <w:lang w:bidi="ar-SY"/>
        </w:rPr>
        <w:t>كشف الاضطرابات الوراثية في استقلاب البورين</w:t>
      </w:r>
    </w:p>
    <w:p w14:paraId="23BC4E8B"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2</w:t>
      </w:r>
      <w:r w:rsidRPr="00EB5CAD">
        <w:rPr>
          <w:rFonts w:eastAsiaTheme="minorEastAsia"/>
          <w:lang w:bidi="ar-SY"/>
        </w:rPr>
        <w:t>.</w:t>
      </w:r>
      <w:r w:rsidRPr="00EB5CAD">
        <w:rPr>
          <w:rFonts w:eastAsiaTheme="minorEastAsia"/>
          <w:lang w:bidi="ar-SY"/>
        </w:rPr>
        <w:tab/>
      </w:r>
      <w:r w:rsidRPr="00EB5CAD">
        <w:rPr>
          <w:rFonts w:eastAsiaTheme="minorEastAsia"/>
          <w:rtl/>
          <w:lang w:bidi="ar-SY"/>
        </w:rPr>
        <w:t>تشخيص ومراقبة داء النقرس</w:t>
      </w:r>
      <w:r w:rsidRPr="00EB5CAD">
        <w:rPr>
          <w:rFonts w:eastAsiaTheme="minorEastAsia"/>
          <w:lang w:bidi="ar-SY"/>
        </w:rPr>
        <w:t xml:space="preserve"> gout</w:t>
      </w:r>
    </w:p>
    <w:p w14:paraId="0A1DE1F2" w14:textId="77777777" w:rsidR="00EB5CAD" w:rsidRPr="00EB5CAD" w:rsidRDefault="00EB5CAD" w:rsidP="00EB5CAD">
      <w:pPr>
        <w:spacing w:after="120" w:line="276" w:lineRule="auto"/>
        <w:ind w:left="-279" w:right="-284"/>
        <w:jc w:val="both"/>
        <w:rPr>
          <w:rFonts w:eastAsiaTheme="minorEastAsia"/>
          <w:lang w:bidi="ar-SY"/>
        </w:rPr>
      </w:pPr>
      <w:r w:rsidRPr="00EB5CAD">
        <w:rPr>
          <w:rFonts w:eastAsiaTheme="minorEastAsia"/>
          <w:rtl/>
          <w:lang w:bidi="ar-SY"/>
        </w:rPr>
        <w:t>3.</w:t>
      </w:r>
      <w:r w:rsidRPr="00EB5CAD">
        <w:rPr>
          <w:rFonts w:eastAsiaTheme="minorEastAsia"/>
          <w:rtl/>
          <w:lang w:bidi="ar-SY"/>
        </w:rPr>
        <w:tab/>
        <w:t>تشخيص الحصى البولية</w:t>
      </w:r>
    </w:p>
    <w:p w14:paraId="3771C447"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EB5CAD">
        <w:rPr>
          <w:rFonts w:eastAsiaTheme="minorEastAsia"/>
          <w:b/>
          <w:bCs/>
          <w:color w:val="1F3864" w:themeColor="accent1" w:themeShade="80"/>
          <w:sz w:val="26"/>
          <w:szCs w:val="26"/>
          <w:rtl/>
          <w:lang w:bidi="ar-SY"/>
        </w:rPr>
        <w:t xml:space="preserve">ارتفاع تركيز حمض البول في الدم </w:t>
      </w:r>
      <w:r w:rsidRPr="00EB5CAD">
        <w:rPr>
          <w:rFonts w:eastAsiaTheme="minorEastAsia"/>
          <w:b/>
          <w:bCs/>
          <w:color w:val="1F3864" w:themeColor="accent1" w:themeShade="80"/>
          <w:sz w:val="26"/>
          <w:szCs w:val="26"/>
          <w:lang w:bidi="ar-SY"/>
        </w:rPr>
        <w:t>Hyperuricemia</w:t>
      </w:r>
      <w:r w:rsidRPr="00EB5CAD">
        <w:rPr>
          <w:rFonts w:eastAsiaTheme="minorEastAsia"/>
          <w:b/>
          <w:bCs/>
          <w:color w:val="1F3864" w:themeColor="accent1" w:themeShade="80"/>
          <w:sz w:val="26"/>
          <w:szCs w:val="26"/>
          <w:rtl/>
          <w:lang w:bidi="ar-SY"/>
        </w:rPr>
        <w:t xml:space="preserve">: </w:t>
      </w:r>
    </w:p>
    <w:p w14:paraId="22839696" w14:textId="77777777" w:rsidR="00EB5CAD" w:rsidRPr="00EB5CAD" w:rsidRDefault="00EB5CAD" w:rsidP="00EB5CAD">
      <w:pPr>
        <w:numPr>
          <w:ilvl w:val="0"/>
          <w:numId w:val="4"/>
        </w:numPr>
        <w:spacing w:after="120" w:line="276" w:lineRule="auto"/>
        <w:ind w:left="146" w:right="-284"/>
        <w:contextualSpacing/>
        <w:jc w:val="both"/>
        <w:rPr>
          <w:rFonts w:eastAsiaTheme="minorEastAsia"/>
          <w:rtl/>
          <w:lang w:bidi="ar-SY"/>
        </w:rPr>
      </w:pPr>
      <w:r w:rsidRPr="00EB5CAD">
        <w:rPr>
          <w:rFonts w:eastAsiaTheme="minorEastAsia"/>
          <w:rtl/>
          <w:lang w:bidi="ar-SY"/>
        </w:rPr>
        <w:t xml:space="preserve">الاضطرابات الوراثية في استقلاب البورين (متلازمة ليش نيان </w:t>
      </w:r>
      <w:proofErr w:type="spellStart"/>
      <w:r w:rsidRPr="00EB5CAD">
        <w:rPr>
          <w:rFonts w:eastAsiaTheme="minorEastAsia"/>
          <w:lang w:bidi="ar-SY"/>
        </w:rPr>
        <w:t>Lesch-Nyhan</w:t>
      </w:r>
      <w:proofErr w:type="spellEnd"/>
      <w:r w:rsidRPr="00EB5CAD">
        <w:rPr>
          <w:rFonts w:eastAsiaTheme="minorEastAsia"/>
          <w:lang w:bidi="ar-SY"/>
        </w:rPr>
        <w:t xml:space="preserve"> syndrome</w:t>
      </w:r>
      <w:r w:rsidRPr="00EB5CAD">
        <w:rPr>
          <w:rFonts w:eastAsiaTheme="minorEastAsia"/>
          <w:rtl/>
          <w:lang w:bidi="ar-SY"/>
        </w:rPr>
        <w:t xml:space="preserve"> المسببة لزيادة انتاج البورين نتيجة عوز انزيمي)</w:t>
      </w:r>
    </w:p>
    <w:p w14:paraId="2D34B436" w14:textId="77777777" w:rsidR="00EB5CAD" w:rsidRPr="00EB5CAD" w:rsidRDefault="00EB5CAD" w:rsidP="00EB5CAD">
      <w:pPr>
        <w:numPr>
          <w:ilvl w:val="0"/>
          <w:numId w:val="4"/>
        </w:numPr>
        <w:spacing w:after="120" w:line="276" w:lineRule="auto"/>
        <w:ind w:left="146" w:right="-284"/>
        <w:contextualSpacing/>
        <w:jc w:val="both"/>
        <w:rPr>
          <w:rFonts w:eastAsiaTheme="minorEastAsia"/>
          <w:rtl/>
          <w:lang w:bidi="ar-SY"/>
        </w:rPr>
      </w:pPr>
      <w:r w:rsidRPr="00EB5CAD">
        <w:rPr>
          <w:rFonts w:eastAsiaTheme="minorEastAsia"/>
          <w:rtl/>
          <w:lang w:bidi="ar-SY"/>
        </w:rPr>
        <w:t>الحمية الغذائية الغنية بالبورينات مثل اللحم الأحمر، لحم الكبد والكلى، بعض المأكولات البحرية.</w:t>
      </w:r>
    </w:p>
    <w:p w14:paraId="59F24C8A" w14:textId="77777777" w:rsidR="00EB5CAD" w:rsidRPr="00EB5CAD" w:rsidRDefault="00EB5CAD" w:rsidP="00EB5CAD">
      <w:pPr>
        <w:numPr>
          <w:ilvl w:val="0"/>
          <w:numId w:val="4"/>
        </w:numPr>
        <w:spacing w:after="120" w:line="276" w:lineRule="auto"/>
        <w:ind w:left="146" w:right="-284"/>
        <w:contextualSpacing/>
        <w:jc w:val="both"/>
        <w:rPr>
          <w:rFonts w:eastAsiaTheme="minorEastAsia"/>
          <w:lang w:bidi="ar-SY"/>
        </w:rPr>
      </w:pPr>
      <w:r w:rsidRPr="00EB5CAD">
        <w:rPr>
          <w:rFonts w:eastAsiaTheme="minorEastAsia"/>
          <w:rtl/>
          <w:lang w:bidi="ar-SY"/>
        </w:rPr>
        <w:t>زيادة تحطيم الحموض النووية: كما في حال فقر الدم الانحلالي، الجوع الشديد.</w:t>
      </w:r>
    </w:p>
    <w:p w14:paraId="3F6F2A91" w14:textId="77777777" w:rsidR="00EB5CAD" w:rsidRPr="00EB5CAD" w:rsidRDefault="00EB5CAD" w:rsidP="00EB5CAD">
      <w:pPr>
        <w:numPr>
          <w:ilvl w:val="0"/>
          <w:numId w:val="4"/>
        </w:numPr>
        <w:spacing w:after="120" w:line="276" w:lineRule="auto"/>
        <w:ind w:left="146" w:right="-284"/>
        <w:contextualSpacing/>
        <w:jc w:val="both"/>
        <w:rPr>
          <w:rFonts w:eastAsiaTheme="minorEastAsia"/>
          <w:rtl/>
          <w:lang w:bidi="ar-SY"/>
        </w:rPr>
      </w:pPr>
      <w:r w:rsidRPr="00EB5CAD">
        <w:rPr>
          <w:rFonts w:eastAsiaTheme="minorEastAsia"/>
          <w:rtl/>
          <w:lang w:bidi="ar-SY"/>
        </w:rPr>
        <w:t>خلل الوظيفة الكلوية: الأمراض الكلوية المزمنة تسبب ارتفاعاً في تركيز حمض البول في الدم نتيجة حدوث خلل في ترشيحه وافرازه. مع ذلك لا يعد مستوى حمض البول مؤشراً جيداً لوظيفة الكلى لوجود عدة عوامل أخرى تؤثر على تراكيزه في الدم.</w:t>
      </w:r>
    </w:p>
    <w:p w14:paraId="26C0CDC0" w14:textId="77777777" w:rsidR="00EB5CAD" w:rsidRDefault="00EB5CAD" w:rsidP="00EB5CAD">
      <w:pPr>
        <w:numPr>
          <w:ilvl w:val="0"/>
          <w:numId w:val="4"/>
        </w:numPr>
        <w:spacing w:after="120" w:line="276" w:lineRule="auto"/>
        <w:ind w:left="146" w:right="-284"/>
        <w:contextualSpacing/>
        <w:jc w:val="both"/>
        <w:rPr>
          <w:rFonts w:eastAsiaTheme="minorEastAsia"/>
          <w:lang w:bidi="ar-SY"/>
        </w:rPr>
      </w:pPr>
      <w:r w:rsidRPr="00EB5CAD">
        <w:rPr>
          <w:rFonts w:eastAsiaTheme="minorEastAsia"/>
          <w:rtl/>
          <w:lang w:bidi="ar-SY"/>
        </w:rPr>
        <w:t>العلاج الكيميائي للسرطانات، الانسمام الحملي، الحماض الاستقلابي.</w:t>
      </w:r>
    </w:p>
    <w:p w14:paraId="3EC2C501" w14:textId="77777777" w:rsidR="00EB5CAD" w:rsidRPr="00EB5CAD" w:rsidRDefault="00EB5CAD" w:rsidP="00EB5CAD">
      <w:pPr>
        <w:spacing w:after="120" w:line="276" w:lineRule="auto"/>
        <w:ind w:left="146" w:right="-284"/>
        <w:contextualSpacing/>
        <w:jc w:val="both"/>
        <w:rPr>
          <w:rFonts w:eastAsiaTheme="minorEastAsia"/>
          <w:lang w:bidi="ar-SY"/>
        </w:rPr>
      </w:pPr>
    </w:p>
    <w:p w14:paraId="510C89A2"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EB5CAD">
        <w:rPr>
          <w:rFonts w:eastAsiaTheme="minorEastAsia"/>
          <w:b/>
          <w:bCs/>
          <w:noProof/>
          <w:color w:val="1F3864" w:themeColor="accent1" w:themeShade="80"/>
          <w:sz w:val="26"/>
          <w:szCs w:val="26"/>
          <w:rtl/>
          <w:lang w:val="en-GB" w:eastAsia="en-GB"/>
        </w:rPr>
        <w:lastRenderedPageBreak/>
        <w:drawing>
          <wp:anchor distT="0" distB="0" distL="114300" distR="114300" simplePos="0" relativeHeight="251665408" behindDoc="0" locked="0" layoutInCell="1" allowOverlap="1" wp14:anchorId="17EA2BBF" wp14:editId="0D9D0D24">
            <wp:simplePos x="0" y="0"/>
            <wp:positionH relativeFrom="margin">
              <wp:posOffset>-191135</wp:posOffset>
            </wp:positionH>
            <wp:positionV relativeFrom="paragraph">
              <wp:posOffset>153035</wp:posOffset>
            </wp:positionV>
            <wp:extent cx="2943225" cy="212979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9798"/>
                    <a:stretch/>
                  </pic:blipFill>
                  <pic:spPr bwMode="auto">
                    <a:xfrm>
                      <a:off x="0" y="0"/>
                      <a:ext cx="2943225" cy="212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5CAD">
        <w:rPr>
          <w:rFonts w:eastAsiaTheme="minorEastAsia"/>
          <w:b/>
          <w:bCs/>
          <w:color w:val="1F3864" w:themeColor="accent1" w:themeShade="80"/>
          <w:sz w:val="26"/>
          <w:szCs w:val="26"/>
          <w:rtl/>
          <w:lang w:bidi="ar-SY"/>
        </w:rPr>
        <w:t xml:space="preserve">داء النقرس (داء الملوك) </w:t>
      </w:r>
      <w:r w:rsidRPr="00EB5CAD">
        <w:rPr>
          <w:rFonts w:eastAsiaTheme="minorEastAsia"/>
          <w:b/>
          <w:bCs/>
          <w:color w:val="1F3864" w:themeColor="accent1" w:themeShade="80"/>
          <w:sz w:val="26"/>
          <w:szCs w:val="26"/>
          <w:lang w:bidi="ar-SY"/>
        </w:rPr>
        <w:t>Gout</w:t>
      </w:r>
      <w:r w:rsidRPr="00EB5CAD">
        <w:rPr>
          <w:rFonts w:eastAsiaTheme="minorEastAsia"/>
          <w:b/>
          <w:bCs/>
          <w:color w:val="1F3864" w:themeColor="accent1" w:themeShade="80"/>
          <w:sz w:val="26"/>
          <w:szCs w:val="26"/>
          <w:rtl/>
          <w:lang w:bidi="ar-SY"/>
        </w:rPr>
        <w:t xml:space="preserve">: </w:t>
      </w:r>
    </w:p>
    <w:p w14:paraId="6908F69F"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التهاب مؤلم في المفاصل ناتج عن ترسب أملاح حمض البول فيها. يتظاهر بتورم واحمرار المفاصل خاصة مفاصل أصابع اليدين، إبهام القدم، الركبة والكاحل. غالباً يكون السبب زيادة انتاج حمض البول بسبب الحمية الغنية بالبورينات ونمط الحياة الكسول.</w:t>
      </w:r>
    </w:p>
    <w:p w14:paraId="55379853" w14:textId="6C43BE9D" w:rsidR="00EB5CAD" w:rsidRDefault="00EB5CAD" w:rsidP="00EB5CAD">
      <w:pPr>
        <w:spacing w:after="120" w:line="276" w:lineRule="auto"/>
        <w:ind w:right="-284"/>
        <w:jc w:val="both"/>
        <w:rPr>
          <w:rFonts w:eastAsiaTheme="minorEastAsia"/>
          <w:rtl/>
          <w:lang w:bidi="ar-SY"/>
        </w:rPr>
      </w:pPr>
    </w:p>
    <w:p w14:paraId="3567EBD9" w14:textId="77777777" w:rsidR="00EB5CAD" w:rsidRDefault="00EB5CAD" w:rsidP="00EB5CAD">
      <w:pPr>
        <w:spacing w:after="120" w:line="276" w:lineRule="auto"/>
        <w:ind w:right="-284"/>
        <w:jc w:val="both"/>
        <w:rPr>
          <w:rFonts w:eastAsiaTheme="minorEastAsia"/>
          <w:rtl/>
          <w:lang w:bidi="ar-SY"/>
        </w:rPr>
      </w:pPr>
    </w:p>
    <w:p w14:paraId="57F6018E" w14:textId="77777777" w:rsidR="00EB5CAD" w:rsidRDefault="00EB5CAD" w:rsidP="00EB5CAD">
      <w:pPr>
        <w:spacing w:after="120" w:line="276" w:lineRule="auto"/>
        <w:ind w:right="-284"/>
        <w:jc w:val="both"/>
        <w:rPr>
          <w:rFonts w:eastAsiaTheme="minorEastAsia"/>
          <w:rtl/>
          <w:lang w:bidi="ar-SY"/>
        </w:rPr>
      </w:pPr>
    </w:p>
    <w:p w14:paraId="78129150" w14:textId="77777777" w:rsidR="00EB5CAD" w:rsidRDefault="00EB5CAD" w:rsidP="00EB5CAD">
      <w:pPr>
        <w:spacing w:after="120" w:line="276" w:lineRule="auto"/>
        <w:ind w:right="-284"/>
        <w:jc w:val="both"/>
        <w:rPr>
          <w:rFonts w:eastAsiaTheme="minorEastAsia"/>
          <w:rtl/>
          <w:lang w:bidi="ar-SY"/>
        </w:rPr>
      </w:pPr>
    </w:p>
    <w:p w14:paraId="053C4FC3"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EB5CAD">
        <w:rPr>
          <w:rFonts w:eastAsiaTheme="minorEastAsia"/>
          <w:b/>
          <w:bCs/>
          <w:color w:val="1F3864" w:themeColor="accent1" w:themeShade="80"/>
          <w:sz w:val="26"/>
          <w:szCs w:val="26"/>
          <w:rtl/>
          <w:lang w:bidi="ar-SY"/>
        </w:rPr>
        <w:t xml:space="preserve">انخفاض تركيز حمض البول في الدم </w:t>
      </w:r>
      <w:r w:rsidRPr="00EB5CAD">
        <w:rPr>
          <w:rFonts w:eastAsiaTheme="minorEastAsia"/>
          <w:b/>
          <w:bCs/>
          <w:color w:val="1F3864" w:themeColor="accent1" w:themeShade="80"/>
          <w:sz w:val="26"/>
          <w:szCs w:val="26"/>
          <w:lang w:bidi="ar-SY"/>
        </w:rPr>
        <w:t>Hypouricemia</w:t>
      </w:r>
      <w:r w:rsidRPr="00EB5CAD">
        <w:rPr>
          <w:rFonts w:eastAsiaTheme="minorEastAsia"/>
          <w:b/>
          <w:bCs/>
          <w:color w:val="1F3864" w:themeColor="accent1" w:themeShade="80"/>
          <w:sz w:val="26"/>
          <w:szCs w:val="26"/>
          <w:rtl/>
          <w:lang w:bidi="ar-SY"/>
        </w:rPr>
        <w:t>:</w:t>
      </w:r>
    </w:p>
    <w:p w14:paraId="75CC9BDE" w14:textId="77777777" w:rsidR="00EB5CAD" w:rsidRPr="00EB5CAD" w:rsidRDefault="00EB5CAD" w:rsidP="00EB5CAD">
      <w:pPr>
        <w:numPr>
          <w:ilvl w:val="0"/>
          <w:numId w:val="5"/>
        </w:numPr>
        <w:spacing w:after="120" w:line="276" w:lineRule="auto"/>
        <w:ind w:left="146" w:right="-284"/>
        <w:contextualSpacing/>
        <w:jc w:val="both"/>
        <w:rPr>
          <w:rFonts w:eastAsiaTheme="minorEastAsia"/>
          <w:lang w:bidi="ar-SY"/>
        </w:rPr>
      </w:pPr>
      <w:r w:rsidRPr="00EB5CAD">
        <w:rPr>
          <w:rFonts w:eastAsiaTheme="minorEastAsia"/>
          <w:rtl/>
          <w:lang w:bidi="ar-SY"/>
        </w:rPr>
        <w:t>أمراض الكبد الحادة</w:t>
      </w:r>
    </w:p>
    <w:p w14:paraId="45847E0C" w14:textId="77777777" w:rsidR="00EB5CAD" w:rsidRPr="00EB5CAD" w:rsidRDefault="00EB5CAD" w:rsidP="00EB5CAD">
      <w:pPr>
        <w:numPr>
          <w:ilvl w:val="0"/>
          <w:numId w:val="5"/>
        </w:numPr>
        <w:spacing w:after="120" w:line="276" w:lineRule="auto"/>
        <w:ind w:left="146" w:right="-284"/>
        <w:contextualSpacing/>
        <w:jc w:val="both"/>
        <w:rPr>
          <w:rFonts w:eastAsiaTheme="minorEastAsia"/>
          <w:rtl/>
          <w:lang w:bidi="ar-SY"/>
        </w:rPr>
      </w:pPr>
      <w:r w:rsidRPr="00EB5CAD">
        <w:rPr>
          <w:rFonts w:eastAsiaTheme="minorEastAsia"/>
          <w:rtl/>
          <w:lang w:bidi="ar-SY"/>
        </w:rPr>
        <w:t>خلل في إعادة الامتصاص النبيبي كما في متلازمة فانكوني وداء ويلسون.</w:t>
      </w:r>
    </w:p>
    <w:p w14:paraId="06E46981" w14:textId="77777777" w:rsidR="00EB5CAD" w:rsidRPr="00EB5CAD" w:rsidRDefault="00EB5CAD" w:rsidP="00EB5CAD">
      <w:pPr>
        <w:numPr>
          <w:ilvl w:val="0"/>
          <w:numId w:val="5"/>
        </w:numPr>
        <w:spacing w:after="120" w:line="276" w:lineRule="auto"/>
        <w:ind w:left="146" w:right="-284"/>
        <w:contextualSpacing/>
        <w:jc w:val="both"/>
        <w:rPr>
          <w:rFonts w:eastAsiaTheme="minorEastAsia"/>
          <w:lang w:bidi="ar-SY"/>
        </w:rPr>
      </w:pPr>
      <w:r w:rsidRPr="00EB5CAD">
        <w:rPr>
          <w:rFonts w:eastAsiaTheme="minorEastAsia"/>
          <w:rtl/>
          <w:lang w:bidi="ar-SY"/>
        </w:rPr>
        <w:t xml:space="preserve">فرط جرعة </w:t>
      </w:r>
      <w:r w:rsidRPr="00EB5CAD">
        <w:rPr>
          <w:rFonts w:eastAsiaTheme="minorEastAsia"/>
          <w:lang w:bidi="ar-SY"/>
        </w:rPr>
        <w:t>allopurinol</w:t>
      </w:r>
      <w:r w:rsidRPr="00EB5CAD">
        <w:rPr>
          <w:rFonts w:eastAsiaTheme="minorEastAsia"/>
          <w:rtl/>
          <w:lang w:bidi="ar-SY"/>
        </w:rPr>
        <w:t xml:space="preserve"> </w:t>
      </w:r>
    </w:p>
    <w:p w14:paraId="03B036DC"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lang w:bidi="ar-SY"/>
        </w:rPr>
      </w:pPr>
      <w:r w:rsidRPr="00EB5CAD">
        <w:rPr>
          <w:rFonts w:eastAsiaTheme="minorEastAsia"/>
          <w:b/>
          <w:bCs/>
          <w:color w:val="1F3864" w:themeColor="accent1" w:themeShade="80"/>
          <w:sz w:val="26"/>
          <w:szCs w:val="26"/>
          <w:rtl/>
          <w:lang w:bidi="ar-SY"/>
        </w:rPr>
        <w:t>القيم المرجعية:</w:t>
      </w:r>
    </w:p>
    <w:p w14:paraId="1A3543DB" w14:textId="77777777" w:rsidR="00EB5CAD" w:rsidRPr="00EB5CAD" w:rsidRDefault="00EB5CAD" w:rsidP="00EB5CAD">
      <w:pPr>
        <w:spacing w:after="120" w:line="276" w:lineRule="auto"/>
        <w:ind w:left="-279" w:right="-284"/>
        <w:jc w:val="both"/>
        <w:rPr>
          <w:rFonts w:eastAsiaTheme="minorEastAsia"/>
          <w:lang w:bidi="ar-SY"/>
        </w:rPr>
      </w:pPr>
      <w:r w:rsidRPr="00EB5CAD">
        <w:rPr>
          <w:rFonts w:eastAsiaTheme="minorEastAsia"/>
          <w:rtl/>
          <w:lang w:bidi="ar-SY"/>
        </w:rPr>
        <w:t xml:space="preserve">الرجال: </w:t>
      </w:r>
      <w:r w:rsidRPr="00EB5CAD">
        <w:rPr>
          <w:rFonts w:eastAsiaTheme="minorEastAsia"/>
          <w:lang w:bidi="ar-SY"/>
        </w:rPr>
        <w:t>3.5–7.2 mg/dL</w:t>
      </w:r>
    </w:p>
    <w:p w14:paraId="0878E94D"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 xml:space="preserve">النساء: </w:t>
      </w:r>
      <w:r w:rsidRPr="00EB5CAD">
        <w:rPr>
          <w:rFonts w:eastAsiaTheme="minorEastAsia"/>
          <w:lang w:bidi="ar-SY"/>
        </w:rPr>
        <w:t>2.6–6.0 mg/dL</w:t>
      </w:r>
    </w:p>
    <w:p w14:paraId="219AE00E"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lang w:bidi="ar-SY"/>
        </w:rPr>
      </w:pPr>
      <w:r w:rsidRPr="00EB5CAD">
        <w:rPr>
          <w:rFonts w:eastAsiaTheme="minorEastAsia"/>
          <w:b/>
          <w:bCs/>
          <w:color w:val="1F3864" w:themeColor="accent1" w:themeShade="80"/>
          <w:sz w:val="26"/>
          <w:szCs w:val="26"/>
          <w:rtl/>
          <w:lang w:bidi="ar-SY"/>
        </w:rPr>
        <w:t>العينات:</w:t>
      </w:r>
    </w:p>
    <w:p w14:paraId="4D922B96" w14:textId="77777777" w:rsidR="00EB5CAD" w:rsidRPr="00EB5CAD" w:rsidRDefault="00EB5CAD" w:rsidP="00EB5CAD">
      <w:pPr>
        <w:spacing w:after="120" w:line="276" w:lineRule="auto"/>
        <w:ind w:left="-279" w:right="-284"/>
        <w:jc w:val="both"/>
        <w:rPr>
          <w:rFonts w:eastAsiaTheme="minorEastAsia"/>
          <w:rtl/>
          <w:lang w:bidi="ar-SY"/>
        </w:rPr>
      </w:pPr>
      <w:r w:rsidRPr="00EB5CAD">
        <w:rPr>
          <w:rFonts w:eastAsiaTheme="minorEastAsia"/>
          <w:rtl/>
          <w:lang w:bidi="ar-SY"/>
        </w:rPr>
        <w:t>يمكن معايرة حمض البول في البلازما المجموعة على هيبارين، المصل أو البول. تؤثر حمية المريض العامة على تراكيز حمض البول عنده لكن لا تتأثر بالغذاء المتناول قبل أخذ العينة. الأدوية مثل الساليسيلات والتيازيد ترفع من مستويات حمض البول.</w:t>
      </w:r>
    </w:p>
    <w:p w14:paraId="5A86678F" w14:textId="77777777" w:rsidR="00EB5CAD" w:rsidRPr="00EB5CAD" w:rsidRDefault="00EB5CAD" w:rsidP="00EB5CAD">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EB5CAD">
        <w:rPr>
          <w:rFonts w:eastAsiaTheme="minorEastAsia"/>
          <w:b/>
          <w:bCs/>
          <w:color w:val="1F3864" w:themeColor="accent1" w:themeShade="80"/>
          <w:sz w:val="26"/>
          <w:szCs w:val="26"/>
          <w:rtl/>
          <w:lang w:bidi="ar-SY"/>
        </w:rPr>
        <w:t>مبادئ معايرة حمض البول</w:t>
      </w:r>
    </w:p>
    <w:p w14:paraId="713FC392" w14:textId="77777777" w:rsidR="00EB5CAD" w:rsidRPr="00EB5CAD" w:rsidRDefault="00EB5CAD" w:rsidP="00EB5CAD">
      <w:pPr>
        <w:spacing w:after="120" w:line="276" w:lineRule="auto"/>
        <w:ind w:left="-279" w:right="-284"/>
        <w:jc w:val="both"/>
        <w:rPr>
          <w:rFonts w:eastAsiaTheme="minorEastAsia"/>
          <w:b/>
          <w:bCs/>
          <w:rtl/>
          <w:lang w:bidi="ar-SY"/>
        </w:rPr>
      </w:pPr>
      <w:r w:rsidRPr="00EB5CAD">
        <w:rPr>
          <w:rFonts w:eastAsiaTheme="minorEastAsia"/>
          <w:b/>
          <w:bCs/>
          <w:noProof/>
          <w:lang w:val="en-GB" w:eastAsia="en-GB"/>
        </w:rPr>
        <w:drawing>
          <wp:anchor distT="0" distB="0" distL="114300" distR="114300" simplePos="0" relativeHeight="251667456" behindDoc="0" locked="0" layoutInCell="1" allowOverlap="1" wp14:anchorId="1C29B723" wp14:editId="63BD2B86">
            <wp:simplePos x="0" y="0"/>
            <wp:positionH relativeFrom="column">
              <wp:posOffset>403373</wp:posOffset>
            </wp:positionH>
            <wp:positionV relativeFrom="paragraph">
              <wp:posOffset>302260</wp:posOffset>
            </wp:positionV>
            <wp:extent cx="5274310" cy="397510"/>
            <wp:effectExtent l="0" t="0" r="254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7510"/>
                    </a:xfrm>
                    <a:prstGeom prst="rect">
                      <a:avLst/>
                    </a:prstGeom>
                    <a:noFill/>
                  </pic:spPr>
                </pic:pic>
              </a:graphicData>
            </a:graphic>
            <wp14:sizeRelH relativeFrom="page">
              <wp14:pctWidth>0</wp14:pctWidth>
            </wp14:sizeRelH>
            <wp14:sizeRelV relativeFrom="page">
              <wp14:pctHeight>0</wp14:pctHeight>
            </wp14:sizeRelV>
          </wp:anchor>
        </w:drawing>
      </w:r>
      <w:r w:rsidRPr="00EB5CAD">
        <w:rPr>
          <w:rFonts w:eastAsiaTheme="minorEastAsia"/>
          <w:b/>
          <w:bCs/>
          <w:rtl/>
          <w:lang w:bidi="ar-SY"/>
        </w:rPr>
        <w:t xml:space="preserve">1-الخاصية الإرجاعية لحمض البول: </w:t>
      </w:r>
    </w:p>
    <w:p w14:paraId="363EA416" w14:textId="77777777" w:rsidR="00EB5CAD" w:rsidRPr="00EB5CAD" w:rsidRDefault="00EB5CAD" w:rsidP="00EB5CAD">
      <w:pPr>
        <w:spacing w:after="120" w:line="276" w:lineRule="auto"/>
        <w:ind w:left="-279" w:right="-284"/>
        <w:jc w:val="both"/>
        <w:rPr>
          <w:rFonts w:eastAsiaTheme="minorEastAsia"/>
          <w:lang w:bidi="ar-SY"/>
        </w:rPr>
      </w:pPr>
      <w:r w:rsidRPr="00EB5CAD">
        <w:rPr>
          <w:rFonts w:eastAsiaTheme="minorEastAsia"/>
          <w:rtl/>
          <w:lang w:bidi="ar-SY"/>
        </w:rPr>
        <w:t>يملك حمض البول فعل مرجع في وسط قلوي حاوي على محلول حمض الفوسفوتنغستي ليعطي مركبات زرقاء غروانية منتشرة غير محددة التركيب.</w:t>
      </w:r>
    </w:p>
    <w:p w14:paraId="7B9F03AA" w14:textId="77777777" w:rsidR="00EB5CAD" w:rsidRDefault="00EB5CAD" w:rsidP="00EB5CAD">
      <w:pPr>
        <w:tabs>
          <w:tab w:val="right" w:pos="720"/>
        </w:tabs>
        <w:spacing w:after="120" w:line="276" w:lineRule="auto"/>
        <w:ind w:left="-138" w:right="-284"/>
        <w:jc w:val="both"/>
        <w:rPr>
          <w:rFonts w:ascii="Simplified Arabic" w:eastAsiaTheme="minorEastAsia" w:hAnsi="Simplified Arabic" w:cs="Simplified Arabic"/>
          <w:b/>
          <w:bCs/>
          <w:color w:val="1F3864" w:themeColor="accent1" w:themeShade="80"/>
          <w:sz w:val="32"/>
          <w:szCs w:val="32"/>
          <w:rtl/>
          <w:lang w:bidi="ar-SY"/>
        </w:rPr>
      </w:pPr>
    </w:p>
    <w:p w14:paraId="477E7ACC" w14:textId="77777777" w:rsidR="00EB5CAD" w:rsidRDefault="00EB5CAD" w:rsidP="00EB5CAD">
      <w:pPr>
        <w:tabs>
          <w:tab w:val="right" w:pos="720"/>
        </w:tabs>
        <w:spacing w:after="120" w:line="276" w:lineRule="auto"/>
        <w:ind w:left="-138" w:right="-284"/>
        <w:jc w:val="both"/>
        <w:rPr>
          <w:rFonts w:ascii="Simplified Arabic" w:eastAsiaTheme="minorEastAsia" w:hAnsi="Simplified Arabic" w:cs="Simplified Arabic"/>
          <w:b/>
          <w:bCs/>
          <w:color w:val="1F3864" w:themeColor="accent1" w:themeShade="80"/>
          <w:sz w:val="32"/>
          <w:szCs w:val="32"/>
          <w:rtl/>
          <w:lang w:bidi="ar-SY"/>
        </w:rPr>
      </w:pPr>
    </w:p>
    <w:p w14:paraId="5CF01EDF" w14:textId="77777777" w:rsidR="00EB5CAD" w:rsidRPr="00EB5CAD" w:rsidRDefault="00EB5CAD" w:rsidP="00EB5CAD">
      <w:pPr>
        <w:spacing w:after="120" w:line="276" w:lineRule="auto"/>
        <w:ind w:left="-279" w:right="-284"/>
        <w:jc w:val="both"/>
        <w:rPr>
          <w:rFonts w:eastAsiaTheme="minorEastAsia"/>
          <w:b/>
          <w:bCs/>
          <w:sz w:val="26"/>
          <w:szCs w:val="26"/>
          <w:rtl/>
          <w:lang w:bidi="ar-SY"/>
        </w:rPr>
      </w:pPr>
      <w:r w:rsidRPr="00EB5CAD">
        <w:rPr>
          <w:rFonts w:eastAsiaTheme="minorEastAsia"/>
          <w:b/>
          <w:bCs/>
          <w:sz w:val="26"/>
          <w:szCs w:val="26"/>
          <w:rtl/>
          <w:lang w:bidi="ar-SY"/>
        </w:rPr>
        <w:lastRenderedPageBreak/>
        <w:t>مساوئ الطرق الإرجاعية</w:t>
      </w:r>
      <w:r w:rsidRPr="00EB5CAD">
        <w:rPr>
          <w:rFonts w:eastAsiaTheme="minorEastAsia"/>
          <w:b/>
          <w:bCs/>
          <w:sz w:val="26"/>
          <w:szCs w:val="26"/>
          <w:lang w:bidi="ar-SY"/>
        </w:rPr>
        <w:t>:</w:t>
      </w:r>
    </w:p>
    <w:p w14:paraId="02DD2DDA" w14:textId="77777777" w:rsidR="00EB5CAD" w:rsidRPr="00EB5CAD" w:rsidRDefault="00EB5CAD" w:rsidP="00EB5CAD">
      <w:pPr>
        <w:numPr>
          <w:ilvl w:val="0"/>
          <w:numId w:val="6"/>
        </w:numPr>
        <w:spacing w:after="120" w:line="276" w:lineRule="auto"/>
        <w:ind w:left="4" w:right="-284"/>
        <w:contextualSpacing/>
        <w:jc w:val="both"/>
        <w:rPr>
          <w:rFonts w:eastAsiaTheme="minorEastAsia"/>
          <w:rtl/>
          <w:lang w:bidi="ar-SY"/>
        </w:rPr>
      </w:pPr>
      <w:r w:rsidRPr="00EB5CAD">
        <w:rPr>
          <w:rFonts w:eastAsiaTheme="minorEastAsia"/>
          <w:rtl/>
          <w:lang w:bidi="ar-SY"/>
        </w:rPr>
        <w:t>المركبات الزرقاء الناتجة غير محددة التركيب</w:t>
      </w:r>
      <w:r w:rsidRPr="00EB5CAD">
        <w:rPr>
          <w:rFonts w:eastAsiaTheme="minorEastAsia"/>
          <w:lang w:bidi="ar-SY"/>
        </w:rPr>
        <w:t>.</w:t>
      </w:r>
    </w:p>
    <w:p w14:paraId="7A34B9B1" w14:textId="77777777" w:rsidR="00EB5CAD" w:rsidRPr="00EB5CAD" w:rsidRDefault="00EB5CAD" w:rsidP="00EB5CAD">
      <w:pPr>
        <w:numPr>
          <w:ilvl w:val="0"/>
          <w:numId w:val="6"/>
        </w:numPr>
        <w:spacing w:after="120" w:line="276" w:lineRule="auto"/>
        <w:ind w:left="4" w:right="-284"/>
        <w:contextualSpacing/>
        <w:jc w:val="both"/>
        <w:rPr>
          <w:rFonts w:eastAsiaTheme="minorEastAsia"/>
          <w:rtl/>
          <w:lang w:bidi="ar-SY"/>
        </w:rPr>
      </w:pPr>
      <w:r w:rsidRPr="00EB5CAD">
        <w:rPr>
          <w:rFonts w:eastAsiaTheme="minorEastAsia"/>
          <w:rtl/>
          <w:lang w:bidi="ar-SY"/>
        </w:rPr>
        <w:t xml:space="preserve">توجد في البلازما العديد من المركبات التي ترجع حمض الفوسفوتنغستي مثل </w:t>
      </w:r>
      <w:r w:rsidRPr="00EB5CAD">
        <w:rPr>
          <w:rFonts w:eastAsiaTheme="minorEastAsia"/>
          <w:lang w:bidi="ar-SY"/>
        </w:rPr>
        <w:t xml:space="preserve"> Vitamin C</w:t>
      </w:r>
      <w:r w:rsidRPr="00EB5CAD">
        <w:rPr>
          <w:rFonts w:eastAsiaTheme="minorEastAsia"/>
          <w:rtl/>
          <w:lang w:bidi="ar-SY"/>
        </w:rPr>
        <w:t>والبروتينات والغلوكوز وجميع المركبات الحاوية على زمرة</w:t>
      </w:r>
      <w:r w:rsidRPr="00EB5CAD">
        <w:rPr>
          <w:rFonts w:eastAsiaTheme="minorEastAsia"/>
          <w:lang w:bidi="ar-SY"/>
        </w:rPr>
        <w:t>.SH</w:t>
      </w:r>
    </w:p>
    <w:p w14:paraId="53C4AFAA" w14:textId="77777777" w:rsidR="00EB5CAD" w:rsidRPr="00EB5CAD" w:rsidRDefault="00EB5CAD" w:rsidP="00EB5CAD">
      <w:pPr>
        <w:numPr>
          <w:ilvl w:val="0"/>
          <w:numId w:val="6"/>
        </w:numPr>
        <w:spacing w:after="120" w:line="276" w:lineRule="auto"/>
        <w:ind w:left="4" w:right="-284"/>
        <w:contextualSpacing/>
        <w:jc w:val="both"/>
        <w:rPr>
          <w:rFonts w:eastAsiaTheme="minorEastAsia"/>
          <w:lang w:bidi="ar-SY"/>
        </w:rPr>
      </w:pPr>
      <w:r w:rsidRPr="00EB5CAD">
        <w:rPr>
          <w:rFonts w:eastAsiaTheme="minorEastAsia"/>
          <w:rtl/>
          <w:lang w:bidi="ar-SY"/>
        </w:rPr>
        <w:t>ترجع الكثير من الأدوية حمض الفوسفوتنغستي مثل الكافئين والتيوفيللين والساليسيلات</w:t>
      </w:r>
      <w:r w:rsidRPr="00EB5CAD">
        <w:rPr>
          <w:rFonts w:eastAsiaTheme="minorEastAsia"/>
          <w:lang w:bidi="ar-SY"/>
        </w:rPr>
        <w:t>.</w:t>
      </w:r>
    </w:p>
    <w:p w14:paraId="3B9400F9" w14:textId="77777777" w:rsidR="00EB5CAD" w:rsidRPr="00EB5CAD" w:rsidRDefault="00EB5CAD" w:rsidP="00EB5CAD">
      <w:pPr>
        <w:numPr>
          <w:ilvl w:val="0"/>
          <w:numId w:val="6"/>
        </w:numPr>
        <w:spacing w:after="120" w:line="276" w:lineRule="auto"/>
        <w:ind w:left="4" w:right="-284"/>
        <w:contextualSpacing/>
        <w:jc w:val="both"/>
        <w:rPr>
          <w:rFonts w:eastAsiaTheme="minorEastAsia"/>
          <w:lang w:bidi="ar-SY"/>
        </w:rPr>
      </w:pPr>
      <w:r w:rsidRPr="00EB5CAD">
        <w:rPr>
          <w:rFonts w:eastAsiaTheme="minorEastAsia"/>
          <w:rtl/>
          <w:lang w:bidi="ar-SY"/>
        </w:rPr>
        <w:t>عدم ثبات اللون ويميل لأن يخفت</w:t>
      </w:r>
    </w:p>
    <w:p w14:paraId="37F61FBB" w14:textId="77777777" w:rsidR="00EB5CAD" w:rsidRPr="00EB5CAD" w:rsidRDefault="00EB5CAD" w:rsidP="00EB5CAD">
      <w:pPr>
        <w:numPr>
          <w:ilvl w:val="0"/>
          <w:numId w:val="6"/>
        </w:numPr>
        <w:spacing w:after="120" w:line="276" w:lineRule="auto"/>
        <w:ind w:left="4" w:right="-284"/>
        <w:contextualSpacing/>
        <w:jc w:val="both"/>
        <w:rPr>
          <w:rFonts w:eastAsiaTheme="minorEastAsia"/>
          <w:lang w:bidi="ar-SY"/>
        </w:rPr>
      </w:pPr>
      <w:r w:rsidRPr="00EB5CAD">
        <w:rPr>
          <w:rFonts w:eastAsiaTheme="minorEastAsia"/>
          <w:rtl/>
          <w:lang w:bidi="ar-SY"/>
        </w:rPr>
        <w:t>إذاً نوعية هذه الطريقة متدنية للغاية</w:t>
      </w:r>
    </w:p>
    <w:p w14:paraId="3DE73C88" w14:textId="7444F77E" w:rsidR="00EB5CAD" w:rsidRPr="00E05CB7" w:rsidRDefault="009C0CB4" w:rsidP="009C0CB4">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Pr>
          <w:rFonts w:hint="cs"/>
          <w:b/>
          <w:bCs/>
          <w:sz w:val="26"/>
          <w:szCs w:val="26"/>
          <w:rtl/>
          <w:lang w:bidi="ar-SY"/>
        </w:rPr>
        <w:t>2</w:t>
      </w:r>
      <w:r w:rsidRPr="009C0CB4">
        <w:rPr>
          <w:b/>
          <w:bCs/>
          <w:sz w:val="26"/>
          <w:szCs w:val="26"/>
          <w:rtl/>
          <w:lang w:bidi="ar-SY"/>
        </w:rPr>
        <w:t>- الطريقة الأنزيمية:</w:t>
      </w:r>
      <w:r w:rsidRPr="009C0CB4">
        <w:rPr>
          <w:b/>
          <w:bCs/>
          <w:noProof/>
          <w:sz w:val="26"/>
          <w:szCs w:val="26"/>
          <w:lang w:val="en-GB" w:eastAsia="en-GB"/>
        </w:rPr>
        <w:drawing>
          <wp:anchor distT="0" distB="0" distL="114300" distR="114300" simplePos="0" relativeHeight="251669504" behindDoc="0" locked="0" layoutInCell="1" allowOverlap="1" wp14:anchorId="6BA07AD7" wp14:editId="7573094B">
            <wp:simplePos x="0" y="0"/>
            <wp:positionH relativeFrom="column">
              <wp:posOffset>457200</wp:posOffset>
            </wp:positionH>
            <wp:positionV relativeFrom="paragraph">
              <wp:posOffset>328930</wp:posOffset>
            </wp:positionV>
            <wp:extent cx="5274310" cy="791845"/>
            <wp:effectExtent l="0" t="0" r="254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91845"/>
                    </a:xfrm>
                    <a:prstGeom prst="rect">
                      <a:avLst/>
                    </a:prstGeom>
                    <a:noFill/>
                  </pic:spPr>
                </pic:pic>
              </a:graphicData>
            </a:graphic>
            <wp14:sizeRelH relativeFrom="page">
              <wp14:pctWidth>0</wp14:pctWidth>
            </wp14:sizeRelH>
            <wp14:sizeRelV relativeFrom="page">
              <wp14:pctHeight>0</wp14:pctHeight>
            </wp14:sizeRelV>
          </wp:anchor>
        </w:drawing>
      </w:r>
    </w:p>
    <w:p w14:paraId="4D9F65B9" w14:textId="2B738ED8" w:rsidR="00FD6383" w:rsidRPr="009C0CB4" w:rsidRDefault="009C0CB4" w:rsidP="00FD6383">
      <w:pPr>
        <w:spacing w:after="120" w:line="276" w:lineRule="auto"/>
        <w:ind w:left="-279" w:right="-284"/>
        <w:jc w:val="both"/>
        <w:rPr>
          <w:rFonts w:eastAsiaTheme="minorEastAsia"/>
          <w:rtl/>
          <w:lang w:bidi="ar-SY"/>
        </w:rPr>
      </w:pPr>
      <w:r w:rsidRPr="009C0CB4">
        <w:rPr>
          <w:noProof/>
          <w:sz w:val="26"/>
          <w:szCs w:val="26"/>
          <w:rtl/>
          <w:lang w:val="en-GB" w:eastAsia="en-GB"/>
        </w:rPr>
        <w:drawing>
          <wp:anchor distT="0" distB="0" distL="114300" distR="114300" simplePos="0" relativeHeight="251671552" behindDoc="0" locked="0" layoutInCell="1" allowOverlap="1" wp14:anchorId="66E5E207" wp14:editId="12B3BF63">
            <wp:simplePos x="0" y="0"/>
            <wp:positionH relativeFrom="margin">
              <wp:posOffset>125095</wp:posOffset>
            </wp:positionH>
            <wp:positionV relativeFrom="paragraph">
              <wp:posOffset>1783080</wp:posOffset>
            </wp:positionV>
            <wp:extent cx="5898515" cy="1733550"/>
            <wp:effectExtent l="0" t="0" r="698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8515" cy="1733550"/>
                    </a:xfrm>
                    <a:prstGeom prst="rect">
                      <a:avLst/>
                    </a:prstGeom>
                    <a:noFill/>
                  </pic:spPr>
                </pic:pic>
              </a:graphicData>
            </a:graphic>
            <wp14:sizeRelH relativeFrom="page">
              <wp14:pctWidth>0</wp14:pctWidth>
            </wp14:sizeRelH>
            <wp14:sizeRelV relativeFrom="page">
              <wp14:pctHeight>0</wp14:pctHeight>
            </wp14:sizeRelV>
          </wp:anchor>
        </w:drawing>
      </w:r>
      <w:r w:rsidRPr="009C0CB4">
        <w:rPr>
          <w:rtl/>
          <w:lang w:bidi="ar-SY"/>
        </w:rPr>
        <w:t xml:space="preserve">هي الطريقة المتعمدة في المخابر التحليلية نظراً لنوعيتها العالية. تتم أكسدة حمض البول بأنزيم يوريكاز </w:t>
      </w:r>
      <w:r w:rsidRPr="009C0CB4">
        <w:rPr>
          <w:lang w:bidi="ar-SY"/>
        </w:rPr>
        <w:t>uricase</w:t>
      </w:r>
      <w:r w:rsidRPr="009C0CB4">
        <w:rPr>
          <w:rtl/>
          <w:lang w:bidi="ar-SY"/>
        </w:rPr>
        <w:t xml:space="preserve"> إلى الألانتوئين (المنحل بالماء) والماء الأوكسجيني، ثم يتحول الماء الأوكسجيني تحت تاثير </w:t>
      </w:r>
      <w:r w:rsidRPr="009C0CB4">
        <w:rPr>
          <w:lang w:bidi="ar-SY"/>
        </w:rPr>
        <w:t>POD (4-AP) , 2-4 Dichlorophenol sulfonate (DCPS)</w:t>
      </w:r>
      <w:r w:rsidRPr="009C0CB4">
        <w:rPr>
          <w:rtl/>
          <w:lang w:bidi="ar-SY"/>
        </w:rPr>
        <w:t xml:space="preserve"> ليشكل معقداً أحمراً. تتناسب شدة اللون الأحمر طرداً مع تركيز حمض</w:t>
      </w:r>
      <w:r>
        <w:rPr>
          <w:rFonts w:hint="cs"/>
          <w:rtl/>
          <w:lang w:bidi="ar-SY"/>
        </w:rPr>
        <w:t xml:space="preserve"> البول في العينة.</w:t>
      </w:r>
    </w:p>
    <w:p w14:paraId="546037C6" w14:textId="07999EF3" w:rsidR="00AC0DE1" w:rsidRPr="00FD6383" w:rsidRDefault="00AC0DE1" w:rsidP="00855B13">
      <w:pPr>
        <w:rPr>
          <w:rtl/>
          <w:lang w:bidi="ar-SY"/>
        </w:rPr>
      </w:pPr>
    </w:p>
    <w:p w14:paraId="195BA46F" w14:textId="2A89BA1E" w:rsidR="00AC0DE1" w:rsidRDefault="00AC0DE1" w:rsidP="00D05624">
      <w:pPr>
        <w:rPr>
          <w:rFonts w:ascii="Simplified Arabic" w:hAnsi="Simplified Arabic" w:cs="Simplified Arabic"/>
          <w:b/>
          <w:bCs/>
          <w:noProof/>
          <w:sz w:val="28"/>
          <w:szCs w:val="28"/>
          <w:rtl/>
          <w:lang w:val="en-GB" w:eastAsia="en-GB"/>
        </w:rPr>
      </w:pPr>
    </w:p>
    <w:p w14:paraId="7D744FFE" w14:textId="77777777" w:rsidR="005E78E7" w:rsidRDefault="005E78E7" w:rsidP="00D05624">
      <w:pPr>
        <w:rPr>
          <w:rFonts w:ascii="Simplified Arabic" w:hAnsi="Simplified Arabic" w:cs="Simplified Arabic"/>
          <w:b/>
          <w:bCs/>
          <w:noProof/>
          <w:sz w:val="28"/>
          <w:szCs w:val="28"/>
          <w:rtl/>
          <w:lang w:val="en-GB" w:eastAsia="en-GB"/>
        </w:rPr>
      </w:pPr>
    </w:p>
    <w:p w14:paraId="2D5D0D1E" w14:textId="77777777" w:rsidR="005E78E7" w:rsidRDefault="005E78E7" w:rsidP="00D05624">
      <w:pPr>
        <w:rPr>
          <w:rFonts w:ascii="Simplified Arabic" w:hAnsi="Simplified Arabic" w:cs="Simplified Arabic"/>
          <w:b/>
          <w:bCs/>
          <w:noProof/>
          <w:sz w:val="28"/>
          <w:szCs w:val="28"/>
          <w:rtl/>
          <w:lang w:val="en-GB" w:eastAsia="en-GB"/>
        </w:rPr>
      </w:pPr>
    </w:p>
    <w:p w14:paraId="02F581F6" w14:textId="77777777" w:rsidR="005E78E7" w:rsidRDefault="005E78E7" w:rsidP="00D05624">
      <w:pPr>
        <w:rPr>
          <w:rFonts w:ascii="Simplified Arabic" w:hAnsi="Simplified Arabic" w:cs="Simplified Arabic"/>
          <w:b/>
          <w:bCs/>
          <w:noProof/>
          <w:sz w:val="28"/>
          <w:szCs w:val="28"/>
          <w:rtl/>
          <w:lang w:val="en-GB" w:eastAsia="en-GB"/>
        </w:rPr>
      </w:pPr>
    </w:p>
    <w:p w14:paraId="2BBB700E" w14:textId="77777777" w:rsidR="005E78E7" w:rsidRDefault="005E78E7" w:rsidP="00D05624">
      <w:pPr>
        <w:rPr>
          <w:rFonts w:ascii="Simplified Arabic" w:hAnsi="Simplified Arabic" w:cs="Simplified Arabic"/>
          <w:b/>
          <w:bCs/>
          <w:noProof/>
          <w:sz w:val="28"/>
          <w:szCs w:val="28"/>
          <w:rtl/>
          <w:lang w:val="en-GB" w:eastAsia="en-GB"/>
        </w:rPr>
      </w:pPr>
    </w:p>
    <w:p w14:paraId="066B1610" w14:textId="77777777" w:rsidR="005E78E7" w:rsidRPr="005E78E7" w:rsidRDefault="005E78E7" w:rsidP="005E78E7">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5E78E7">
        <w:rPr>
          <w:rFonts w:eastAsiaTheme="minorEastAsia"/>
          <w:b/>
          <w:bCs/>
          <w:color w:val="1F3864" w:themeColor="accent1" w:themeShade="80"/>
          <w:sz w:val="26"/>
          <w:szCs w:val="26"/>
          <w:rtl/>
          <w:lang w:bidi="ar-SY"/>
        </w:rPr>
        <w:t>القسم العملي</w:t>
      </w:r>
    </w:p>
    <w:p w14:paraId="553A2812" w14:textId="77777777" w:rsidR="005E78E7" w:rsidRPr="005E78E7" w:rsidRDefault="005E78E7" w:rsidP="005E78E7">
      <w:pPr>
        <w:spacing w:after="120" w:line="276" w:lineRule="auto"/>
        <w:ind w:left="-279" w:right="-284"/>
        <w:jc w:val="both"/>
        <w:rPr>
          <w:rFonts w:eastAsiaTheme="minorEastAsia"/>
          <w:rtl/>
          <w:lang w:bidi="ar-SY"/>
        </w:rPr>
      </w:pPr>
      <w:r w:rsidRPr="005E78E7">
        <w:rPr>
          <w:rFonts w:eastAsiaTheme="minorEastAsia"/>
          <w:rtl/>
          <w:lang w:bidi="ar-SY"/>
        </w:rPr>
        <w:t>معايرة حمض البول في الدم بالطريقة الأنزيمية.</w:t>
      </w:r>
    </w:p>
    <w:p w14:paraId="33202696" w14:textId="77777777" w:rsidR="005E78E7" w:rsidRPr="005E78E7" w:rsidRDefault="005E78E7" w:rsidP="005E78E7">
      <w:pPr>
        <w:spacing w:after="120" w:line="276" w:lineRule="auto"/>
        <w:ind w:left="-279" w:right="-284"/>
        <w:jc w:val="both"/>
        <w:rPr>
          <w:rFonts w:eastAsiaTheme="minorEastAsia"/>
          <w:b/>
          <w:bCs/>
          <w:sz w:val="26"/>
          <w:szCs w:val="26"/>
          <w:rtl/>
          <w:lang w:bidi="ar-SY"/>
        </w:rPr>
      </w:pPr>
      <w:r w:rsidRPr="005E78E7">
        <w:rPr>
          <w:rFonts w:eastAsiaTheme="minorEastAsia"/>
          <w:b/>
          <w:bCs/>
          <w:sz w:val="26"/>
          <w:szCs w:val="26"/>
          <w:rtl/>
          <w:lang w:bidi="ar-SY"/>
        </w:rPr>
        <w:t>المواد والأجهزة المستعملة:</w:t>
      </w:r>
    </w:p>
    <w:p w14:paraId="73751F7B" w14:textId="77777777" w:rsidR="005E78E7" w:rsidRPr="005E78E7" w:rsidRDefault="005E78E7" w:rsidP="005E78E7">
      <w:pPr>
        <w:numPr>
          <w:ilvl w:val="0"/>
          <w:numId w:val="7"/>
        </w:numPr>
        <w:spacing w:after="120" w:line="276" w:lineRule="auto"/>
        <w:ind w:right="-284"/>
        <w:contextualSpacing/>
        <w:jc w:val="both"/>
        <w:rPr>
          <w:rFonts w:eastAsiaTheme="minorEastAsia"/>
          <w:rtl/>
          <w:lang w:bidi="ar-SY"/>
        </w:rPr>
      </w:pPr>
      <w:r w:rsidRPr="005E78E7">
        <w:rPr>
          <w:rFonts w:eastAsiaTheme="minorEastAsia"/>
          <w:rtl/>
          <w:lang w:bidi="ar-SY"/>
        </w:rPr>
        <w:t>كيت لتحليل حمض البول بالطريقة الأنزيمية</w:t>
      </w:r>
    </w:p>
    <w:p w14:paraId="6F45AD76" w14:textId="77777777" w:rsidR="005E78E7" w:rsidRPr="005E78E7" w:rsidRDefault="005E78E7" w:rsidP="005E78E7">
      <w:pPr>
        <w:numPr>
          <w:ilvl w:val="0"/>
          <w:numId w:val="7"/>
        </w:numPr>
        <w:spacing w:after="120" w:line="276" w:lineRule="auto"/>
        <w:ind w:right="-284"/>
        <w:contextualSpacing/>
        <w:jc w:val="both"/>
        <w:rPr>
          <w:rFonts w:eastAsiaTheme="minorEastAsia"/>
          <w:lang w:bidi="ar-SY"/>
        </w:rPr>
      </w:pPr>
      <w:r w:rsidRPr="005E78E7">
        <w:rPr>
          <w:rFonts w:eastAsiaTheme="minorEastAsia"/>
          <w:rtl/>
          <w:lang w:bidi="ar-SY"/>
        </w:rPr>
        <w:t xml:space="preserve">مكروبيبيت </w:t>
      </w:r>
      <w:r w:rsidRPr="005E78E7">
        <w:rPr>
          <w:rFonts w:eastAsiaTheme="minorEastAsia"/>
          <w:lang w:bidi="ar-SY"/>
        </w:rPr>
        <w:t>micropipette</w:t>
      </w:r>
      <w:r w:rsidRPr="005E78E7">
        <w:rPr>
          <w:rFonts w:eastAsiaTheme="minorEastAsia"/>
          <w:rtl/>
          <w:lang w:bidi="ar-SY"/>
        </w:rPr>
        <w:t xml:space="preserve"> حجم 1000 مكرون و 25 مكرون</w:t>
      </w:r>
    </w:p>
    <w:p w14:paraId="5F1C8AC4" w14:textId="77777777" w:rsidR="005E78E7" w:rsidRPr="005E78E7" w:rsidRDefault="005E78E7" w:rsidP="005E78E7">
      <w:pPr>
        <w:numPr>
          <w:ilvl w:val="0"/>
          <w:numId w:val="7"/>
        </w:numPr>
        <w:spacing w:after="120" w:line="276" w:lineRule="auto"/>
        <w:ind w:right="-284"/>
        <w:contextualSpacing/>
        <w:jc w:val="both"/>
        <w:rPr>
          <w:rFonts w:eastAsiaTheme="minorEastAsia"/>
          <w:lang w:bidi="ar-SY"/>
        </w:rPr>
      </w:pPr>
      <w:r w:rsidRPr="005E78E7">
        <w:rPr>
          <w:rFonts w:eastAsiaTheme="minorEastAsia"/>
          <w:rtl/>
          <w:lang w:bidi="ar-SY"/>
        </w:rPr>
        <w:t>كوفيت بلاستيكية</w:t>
      </w:r>
    </w:p>
    <w:p w14:paraId="650467A1" w14:textId="77777777" w:rsidR="005E78E7" w:rsidRPr="005E78E7" w:rsidRDefault="005E78E7" w:rsidP="005E78E7">
      <w:pPr>
        <w:numPr>
          <w:ilvl w:val="0"/>
          <w:numId w:val="7"/>
        </w:numPr>
        <w:spacing w:after="120" w:line="276" w:lineRule="auto"/>
        <w:ind w:right="-284"/>
        <w:contextualSpacing/>
        <w:jc w:val="both"/>
        <w:rPr>
          <w:rFonts w:eastAsiaTheme="minorEastAsia"/>
          <w:lang w:bidi="ar-SY"/>
        </w:rPr>
      </w:pPr>
      <w:r w:rsidRPr="005E78E7">
        <w:rPr>
          <w:rFonts w:eastAsiaTheme="minorEastAsia"/>
          <w:rtl/>
          <w:lang w:bidi="ar-SY"/>
        </w:rPr>
        <w:t>مقياس الطيف الضوئي</w:t>
      </w:r>
    </w:p>
    <w:p w14:paraId="750870F0" w14:textId="77777777" w:rsidR="005E78E7" w:rsidRPr="005E78E7" w:rsidRDefault="005E78E7" w:rsidP="005E78E7">
      <w:pPr>
        <w:spacing w:after="120" w:line="276" w:lineRule="auto"/>
        <w:ind w:left="-279" w:right="-284"/>
        <w:jc w:val="both"/>
        <w:rPr>
          <w:rFonts w:eastAsiaTheme="minorEastAsia"/>
          <w:lang w:bidi="ar-SY"/>
        </w:rPr>
      </w:pPr>
      <w:r w:rsidRPr="005E78E7">
        <w:rPr>
          <w:rFonts w:eastAsiaTheme="minorEastAsia"/>
          <w:b/>
          <w:bCs/>
          <w:sz w:val="26"/>
          <w:szCs w:val="26"/>
          <w:rtl/>
          <w:lang w:bidi="ar-SY"/>
        </w:rPr>
        <w:t>العينة</w:t>
      </w:r>
      <w:r w:rsidRPr="005E78E7">
        <w:rPr>
          <w:rFonts w:eastAsiaTheme="minorEastAsia"/>
          <w:sz w:val="26"/>
          <w:szCs w:val="26"/>
          <w:rtl/>
          <w:lang w:bidi="ar-SY"/>
        </w:rPr>
        <w:t>:</w:t>
      </w:r>
      <w:r w:rsidRPr="005E78E7">
        <w:rPr>
          <w:rFonts w:eastAsiaTheme="minorEastAsia"/>
          <w:rtl/>
          <w:lang w:bidi="ar-SY"/>
        </w:rPr>
        <w:t xml:space="preserve"> بلازما </w:t>
      </w:r>
    </w:p>
    <w:p w14:paraId="6EE13B48" w14:textId="77777777" w:rsidR="005E78E7" w:rsidRPr="005E78E7" w:rsidRDefault="005E78E7" w:rsidP="005E78E7">
      <w:pPr>
        <w:tabs>
          <w:tab w:val="right" w:pos="720"/>
        </w:tabs>
        <w:spacing w:after="120" w:line="276" w:lineRule="auto"/>
        <w:ind w:left="-138" w:right="-284"/>
        <w:jc w:val="both"/>
        <w:rPr>
          <w:rFonts w:eastAsiaTheme="minorEastAsia"/>
          <w:b/>
          <w:bCs/>
          <w:color w:val="1F3864" w:themeColor="accent1" w:themeShade="80"/>
          <w:sz w:val="26"/>
          <w:szCs w:val="26"/>
          <w:lang w:bidi="ar-SY"/>
        </w:rPr>
      </w:pPr>
      <w:r w:rsidRPr="005E78E7">
        <w:rPr>
          <w:rFonts w:eastAsiaTheme="minorEastAsia"/>
          <w:b/>
          <w:bCs/>
          <w:color w:val="1F3864" w:themeColor="accent1" w:themeShade="80"/>
          <w:sz w:val="26"/>
          <w:szCs w:val="26"/>
          <w:rtl/>
          <w:lang w:bidi="ar-SY"/>
        </w:rPr>
        <w:t>طريقة العمل:</w:t>
      </w:r>
    </w:p>
    <w:p w14:paraId="51AC310A" w14:textId="77777777" w:rsidR="005E78E7" w:rsidRPr="005E78E7" w:rsidRDefault="005E78E7" w:rsidP="005E78E7">
      <w:pPr>
        <w:numPr>
          <w:ilvl w:val="0"/>
          <w:numId w:val="8"/>
        </w:numPr>
        <w:spacing w:after="120" w:line="276" w:lineRule="auto"/>
        <w:ind w:right="-284"/>
        <w:contextualSpacing/>
        <w:jc w:val="both"/>
        <w:rPr>
          <w:rFonts w:eastAsiaTheme="minorEastAsia"/>
          <w:rtl/>
          <w:lang w:bidi="ar-SY"/>
        </w:rPr>
      </w:pPr>
      <w:r w:rsidRPr="005E78E7">
        <w:rPr>
          <w:rFonts w:eastAsiaTheme="minorEastAsia"/>
          <w:rtl/>
          <w:lang w:bidi="ar-SY"/>
        </w:rPr>
        <w:t>تحضر الكوفيتات وفق الجدول التالي:</w:t>
      </w:r>
    </w:p>
    <w:tbl>
      <w:tblPr>
        <w:tblStyle w:val="GridTable1Light"/>
        <w:bidiVisual/>
        <w:tblW w:w="0" w:type="auto"/>
        <w:tblLook w:val="0420" w:firstRow="1" w:lastRow="0" w:firstColumn="0" w:lastColumn="0" w:noHBand="0" w:noVBand="1"/>
      </w:tblPr>
      <w:tblGrid>
        <w:gridCol w:w="2130"/>
        <w:gridCol w:w="2130"/>
        <w:gridCol w:w="2131"/>
        <w:gridCol w:w="2131"/>
      </w:tblGrid>
      <w:tr w:rsidR="005E78E7" w:rsidRPr="005E78E7" w14:paraId="681D9C8F" w14:textId="77777777" w:rsidTr="009843F4">
        <w:trPr>
          <w:cnfStyle w:val="100000000000" w:firstRow="1" w:lastRow="0" w:firstColumn="0" w:lastColumn="0" w:oddVBand="0" w:evenVBand="0" w:oddHBand="0" w:evenHBand="0" w:firstRowFirstColumn="0" w:firstRowLastColumn="0" w:lastRowFirstColumn="0" w:lastRowLastColumn="0"/>
        </w:trPr>
        <w:tc>
          <w:tcPr>
            <w:tcW w:w="2130" w:type="dxa"/>
            <w:shd w:val="clear" w:color="auto" w:fill="D9D9D9" w:themeFill="background1" w:themeFillShade="D9"/>
            <w:hideMark/>
          </w:tcPr>
          <w:p w14:paraId="55E23E73" w14:textId="77777777" w:rsidR="005E78E7" w:rsidRPr="005E78E7" w:rsidRDefault="005E78E7" w:rsidP="005E78E7">
            <w:pPr>
              <w:spacing w:after="120" w:line="276" w:lineRule="auto"/>
              <w:ind w:left="-279" w:right="-284"/>
              <w:jc w:val="center"/>
              <w:rPr>
                <w:rtl/>
                <w:lang w:bidi="ar-SY"/>
              </w:rPr>
            </w:pPr>
            <w:r w:rsidRPr="005E78E7">
              <w:rPr>
                <w:lang w:bidi="ar-SY"/>
              </w:rPr>
              <w:t>Standard</w:t>
            </w:r>
          </w:p>
        </w:tc>
        <w:tc>
          <w:tcPr>
            <w:tcW w:w="2130" w:type="dxa"/>
            <w:shd w:val="clear" w:color="auto" w:fill="D9D9D9" w:themeFill="background1" w:themeFillShade="D9"/>
            <w:hideMark/>
          </w:tcPr>
          <w:p w14:paraId="6382983E" w14:textId="77777777" w:rsidR="005E78E7" w:rsidRPr="005E78E7" w:rsidRDefault="005E78E7" w:rsidP="005E78E7">
            <w:pPr>
              <w:spacing w:after="120" w:line="276" w:lineRule="auto"/>
              <w:ind w:left="-279" w:right="-284"/>
              <w:jc w:val="center"/>
              <w:rPr>
                <w:rtl/>
                <w:lang w:bidi="ar-SY"/>
              </w:rPr>
            </w:pPr>
            <w:r w:rsidRPr="005E78E7">
              <w:rPr>
                <w:lang w:bidi="ar-SY"/>
              </w:rPr>
              <w:t>Sample</w:t>
            </w:r>
          </w:p>
        </w:tc>
        <w:tc>
          <w:tcPr>
            <w:tcW w:w="2131" w:type="dxa"/>
            <w:shd w:val="clear" w:color="auto" w:fill="D9D9D9" w:themeFill="background1" w:themeFillShade="D9"/>
            <w:hideMark/>
          </w:tcPr>
          <w:p w14:paraId="241773E4" w14:textId="77777777" w:rsidR="005E78E7" w:rsidRPr="005E78E7" w:rsidRDefault="005E78E7" w:rsidP="005E78E7">
            <w:pPr>
              <w:spacing w:after="120" w:line="276" w:lineRule="auto"/>
              <w:ind w:left="-279" w:right="-284"/>
              <w:jc w:val="center"/>
              <w:rPr>
                <w:rtl/>
                <w:lang w:bidi="ar-SY"/>
              </w:rPr>
            </w:pPr>
            <w:r w:rsidRPr="005E78E7">
              <w:rPr>
                <w:lang w:bidi="ar-SY"/>
              </w:rPr>
              <w:t>blank</w:t>
            </w:r>
          </w:p>
        </w:tc>
        <w:tc>
          <w:tcPr>
            <w:tcW w:w="2131" w:type="dxa"/>
          </w:tcPr>
          <w:p w14:paraId="32C5C4DA" w14:textId="77777777" w:rsidR="005E78E7" w:rsidRPr="005E78E7" w:rsidRDefault="005E78E7" w:rsidP="005E78E7">
            <w:pPr>
              <w:spacing w:after="120" w:line="276" w:lineRule="auto"/>
              <w:ind w:left="-279" w:right="-284"/>
              <w:jc w:val="center"/>
              <w:rPr>
                <w:rtl/>
                <w:lang w:bidi="ar-SY"/>
              </w:rPr>
            </w:pPr>
          </w:p>
        </w:tc>
      </w:tr>
      <w:tr w:rsidR="005E78E7" w:rsidRPr="005E78E7" w14:paraId="2A158DE4" w14:textId="77777777" w:rsidTr="009843F4">
        <w:tc>
          <w:tcPr>
            <w:tcW w:w="2130" w:type="dxa"/>
            <w:hideMark/>
          </w:tcPr>
          <w:p w14:paraId="530C1116" w14:textId="77777777" w:rsidR="005E78E7" w:rsidRPr="005E78E7" w:rsidRDefault="005E78E7" w:rsidP="005E78E7">
            <w:pPr>
              <w:spacing w:after="120" w:line="276" w:lineRule="auto"/>
              <w:ind w:left="-279" w:right="-284"/>
              <w:jc w:val="center"/>
              <w:rPr>
                <w:rtl/>
                <w:lang w:bidi="ar-SY"/>
              </w:rPr>
            </w:pPr>
            <w:r w:rsidRPr="005E78E7">
              <w:rPr>
                <w:lang w:bidi="ar-SY"/>
              </w:rPr>
              <w:t>1.0 mL</w:t>
            </w:r>
          </w:p>
        </w:tc>
        <w:tc>
          <w:tcPr>
            <w:tcW w:w="2130" w:type="dxa"/>
            <w:hideMark/>
          </w:tcPr>
          <w:p w14:paraId="10F84B7E" w14:textId="77777777" w:rsidR="005E78E7" w:rsidRPr="005E78E7" w:rsidRDefault="005E78E7" w:rsidP="005E78E7">
            <w:pPr>
              <w:spacing w:after="120" w:line="276" w:lineRule="auto"/>
              <w:ind w:left="-279" w:right="-284"/>
              <w:jc w:val="center"/>
              <w:rPr>
                <w:rtl/>
                <w:lang w:bidi="ar-SY"/>
              </w:rPr>
            </w:pPr>
            <w:r w:rsidRPr="005E78E7">
              <w:rPr>
                <w:lang w:bidi="ar-SY"/>
              </w:rPr>
              <w:t>1.0 mL</w:t>
            </w:r>
          </w:p>
        </w:tc>
        <w:tc>
          <w:tcPr>
            <w:tcW w:w="2131" w:type="dxa"/>
            <w:hideMark/>
          </w:tcPr>
          <w:p w14:paraId="2074D3BA" w14:textId="77777777" w:rsidR="005E78E7" w:rsidRPr="005E78E7" w:rsidRDefault="005E78E7" w:rsidP="005E78E7">
            <w:pPr>
              <w:spacing w:after="120" w:line="276" w:lineRule="auto"/>
              <w:ind w:left="-279" w:right="-284"/>
              <w:jc w:val="center"/>
              <w:rPr>
                <w:rtl/>
                <w:lang w:bidi="ar-SY"/>
              </w:rPr>
            </w:pPr>
            <w:r w:rsidRPr="005E78E7">
              <w:rPr>
                <w:lang w:bidi="ar-SY"/>
              </w:rPr>
              <w:t>1.0 mL</w:t>
            </w:r>
          </w:p>
        </w:tc>
        <w:tc>
          <w:tcPr>
            <w:tcW w:w="2131" w:type="dxa"/>
            <w:shd w:val="clear" w:color="auto" w:fill="D9D9D9" w:themeFill="background1" w:themeFillShade="D9"/>
            <w:hideMark/>
          </w:tcPr>
          <w:p w14:paraId="3CEB4DD4" w14:textId="77777777" w:rsidR="005E78E7" w:rsidRPr="005E78E7" w:rsidRDefault="005E78E7" w:rsidP="005E78E7">
            <w:pPr>
              <w:spacing w:after="120" w:line="276" w:lineRule="auto"/>
              <w:ind w:left="-279" w:right="-284"/>
              <w:jc w:val="center"/>
              <w:rPr>
                <w:b/>
                <w:bCs/>
                <w:rtl/>
                <w:lang w:bidi="ar-SY"/>
              </w:rPr>
            </w:pPr>
            <w:r w:rsidRPr="005E78E7">
              <w:rPr>
                <w:b/>
                <w:bCs/>
                <w:lang w:bidi="ar-SY"/>
              </w:rPr>
              <w:t>Reagent</w:t>
            </w:r>
          </w:p>
        </w:tc>
      </w:tr>
      <w:tr w:rsidR="005E78E7" w:rsidRPr="005E78E7" w14:paraId="63979C31" w14:textId="77777777" w:rsidTr="009843F4">
        <w:tc>
          <w:tcPr>
            <w:tcW w:w="2130" w:type="dxa"/>
            <w:hideMark/>
          </w:tcPr>
          <w:p w14:paraId="17F12F6F" w14:textId="77777777" w:rsidR="005E78E7" w:rsidRPr="005E78E7" w:rsidRDefault="005E78E7" w:rsidP="005E78E7">
            <w:pPr>
              <w:spacing w:after="120" w:line="276" w:lineRule="auto"/>
              <w:ind w:left="-279" w:right="-284"/>
              <w:jc w:val="center"/>
              <w:rPr>
                <w:rtl/>
                <w:lang w:bidi="ar-SY"/>
              </w:rPr>
            </w:pPr>
            <w:r w:rsidRPr="005E78E7">
              <w:rPr>
                <w:rtl/>
                <w:lang w:bidi="ar-SY"/>
              </w:rPr>
              <w:t>-</w:t>
            </w:r>
          </w:p>
        </w:tc>
        <w:tc>
          <w:tcPr>
            <w:tcW w:w="2130" w:type="dxa"/>
            <w:hideMark/>
          </w:tcPr>
          <w:p w14:paraId="1AB5735E" w14:textId="77777777" w:rsidR="005E78E7" w:rsidRPr="005E78E7" w:rsidRDefault="005E78E7" w:rsidP="005E78E7">
            <w:pPr>
              <w:spacing w:after="120" w:line="276" w:lineRule="auto"/>
              <w:ind w:left="-279" w:right="-284"/>
              <w:jc w:val="center"/>
              <w:rPr>
                <w:rtl/>
                <w:lang w:bidi="ar-SY"/>
              </w:rPr>
            </w:pPr>
            <w:r w:rsidRPr="005E78E7">
              <w:rPr>
                <w:lang w:bidi="ar-SY"/>
              </w:rPr>
              <w:t>25 µL</w:t>
            </w:r>
          </w:p>
        </w:tc>
        <w:tc>
          <w:tcPr>
            <w:tcW w:w="2131" w:type="dxa"/>
            <w:hideMark/>
          </w:tcPr>
          <w:p w14:paraId="3E179FE9" w14:textId="77777777" w:rsidR="005E78E7" w:rsidRPr="005E78E7" w:rsidRDefault="005E78E7" w:rsidP="005E78E7">
            <w:pPr>
              <w:spacing w:after="120" w:line="276" w:lineRule="auto"/>
              <w:ind w:left="-279" w:right="-284"/>
              <w:jc w:val="center"/>
              <w:rPr>
                <w:rtl/>
                <w:lang w:bidi="ar-SY"/>
              </w:rPr>
            </w:pPr>
            <w:r w:rsidRPr="005E78E7">
              <w:rPr>
                <w:rtl/>
                <w:lang w:bidi="ar-SY"/>
              </w:rPr>
              <w:t>-</w:t>
            </w:r>
          </w:p>
        </w:tc>
        <w:tc>
          <w:tcPr>
            <w:tcW w:w="2131" w:type="dxa"/>
            <w:shd w:val="clear" w:color="auto" w:fill="D9D9D9" w:themeFill="background1" w:themeFillShade="D9"/>
            <w:hideMark/>
          </w:tcPr>
          <w:p w14:paraId="2B5E816A" w14:textId="77777777" w:rsidR="005E78E7" w:rsidRPr="005E78E7" w:rsidRDefault="005E78E7" w:rsidP="005E78E7">
            <w:pPr>
              <w:spacing w:after="120" w:line="276" w:lineRule="auto"/>
              <w:ind w:left="-279" w:right="-284"/>
              <w:jc w:val="center"/>
              <w:rPr>
                <w:b/>
                <w:bCs/>
                <w:rtl/>
                <w:lang w:bidi="ar-SY"/>
              </w:rPr>
            </w:pPr>
            <w:r w:rsidRPr="005E78E7">
              <w:rPr>
                <w:b/>
                <w:bCs/>
                <w:lang w:bidi="ar-SY"/>
              </w:rPr>
              <w:t>sample</w:t>
            </w:r>
          </w:p>
        </w:tc>
      </w:tr>
      <w:tr w:rsidR="005E78E7" w:rsidRPr="005E78E7" w14:paraId="7803F695" w14:textId="77777777" w:rsidTr="009843F4">
        <w:tc>
          <w:tcPr>
            <w:tcW w:w="2130" w:type="dxa"/>
            <w:hideMark/>
          </w:tcPr>
          <w:p w14:paraId="4A4FF817" w14:textId="77777777" w:rsidR="005E78E7" w:rsidRPr="005E78E7" w:rsidRDefault="005E78E7" w:rsidP="005E78E7">
            <w:pPr>
              <w:spacing w:after="120" w:line="276" w:lineRule="auto"/>
              <w:ind w:left="-279" w:right="-284"/>
              <w:jc w:val="center"/>
              <w:rPr>
                <w:rtl/>
                <w:lang w:bidi="ar-SY"/>
              </w:rPr>
            </w:pPr>
            <w:r w:rsidRPr="005E78E7">
              <w:rPr>
                <w:lang w:bidi="ar-SY"/>
              </w:rPr>
              <w:t>25 µL</w:t>
            </w:r>
          </w:p>
        </w:tc>
        <w:tc>
          <w:tcPr>
            <w:tcW w:w="2130" w:type="dxa"/>
            <w:hideMark/>
          </w:tcPr>
          <w:p w14:paraId="78ED6098" w14:textId="77777777" w:rsidR="005E78E7" w:rsidRPr="005E78E7" w:rsidRDefault="005E78E7" w:rsidP="005E78E7">
            <w:pPr>
              <w:spacing w:after="120" w:line="276" w:lineRule="auto"/>
              <w:ind w:left="-279" w:right="-284"/>
              <w:jc w:val="center"/>
              <w:rPr>
                <w:rtl/>
                <w:lang w:bidi="ar-SY"/>
              </w:rPr>
            </w:pPr>
            <w:r w:rsidRPr="005E78E7">
              <w:rPr>
                <w:rtl/>
                <w:lang w:bidi="ar-SY"/>
              </w:rPr>
              <w:t>-</w:t>
            </w:r>
          </w:p>
        </w:tc>
        <w:tc>
          <w:tcPr>
            <w:tcW w:w="2131" w:type="dxa"/>
            <w:hideMark/>
          </w:tcPr>
          <w:p w14:paraId="459FAA0B" w14:textId="77777777" w:rsidR="005E78E7" w:rsidRPr="005E78E7" w:rsidRDefault="005E78E7" w:rsidP="005E78E7">
            <w:pPr>
              <w:spacing w:after="120" w:line="276" w:lineRule="auto"/>
              <w:ind w:left="-279" w:right="-284"/>
              <w:jc w:val="center"/>
              <w:rPr>
                <w:rtl/>
                <w:lang w:bidi="ar-SY"/>
              </w:rPr>
            </w:pPr>
            <w:r w:rsidRPr="005E78E7">
              <w:rPr>
                <w:rtl/>
                <w:lang w:bidi="ar-SY"/>
              </w:rPr>
              <w:t>-</w:t>
            </w:r>
          </w:p>
        </w:tc>
        <w:tc>
          <w:tcPr>
            <w:tcW w:w="2131" w:type="dxa"/>
            <w:shd w:val="clear" w:color="auto" w:fill="D9D9D9" w:themeFill="background1" w:themeFillShade="D9"/>
            <w:hideMark/>
          </w:tcPr>
          <w:p w14:paraId="194B4788" w14:textId="77777777" w:rsidR="005E78E7" w:rsidRPr="005E78E7" w:rsidRDefault="005E78E7" w:rsidP="005E78E7">
            <w:pPr>
              <w:spacing w:after="120" w:line="276" w:lineRule="auto"/>
              <w:ind w:left="-279" w:right="-284"/>
              <w:jc w:val="center"/>
              <w:rPr>
                <w:b/>
                <w:bCs/>
                <w:rtl/>
                <w:lang w:bidi="ar-SY"/>
              </w:rPr>
            </w:pPr>
            <w:r w:rsidRPr="005E78E7">
              <w:rPr>
                <w:b/>
                <w:bCs/>
                <w:lang w:bidi="ar-SY"/>
              </w:rPr>
              <w:t>standard</w:t>
            </w:r>
          </w:p>
        </w:tc>
      </w:tr>
    </w:tbl>
    <w:p w14:paraId="4B17AB96" w14:textId="77777777" w:rsidR="005E78E7" w:rsidRPr="005E78E7" w:rsidRDefault="005E78E7" w:rsidP="005E78E7">
      <w:pPr>
        <w:numPr>
          <w:ilvl w:val="0"/>
          <w:numId w:val="8"/>
        </w:numPr>
        <w:spacing w:after="120" w:line="276" w:lineRule="auto"/>
        <w:ind w:right="-284"/>
        <w:contextualSpacing/>
        <w:jc w:val="both"/>
        <w:rPr>
          <w:rFonts w:eastAsiaTheme="minorEastAsia"/>
          <w:rtl/>
          <w:lang w:bidi="ar-SY"/>
        </w:rPr>
      </w:pPr>
      <w:r w:rsidRPr="005E78E7">
        <w:rPr>
          <w:rFonts w:eastAsiaTheme="minorEastAsia"/>
          <w:rtl/>
          <w:lang w:bidi="ar-SY"/>
        </w:rPr>
        <w:t>تمزج وتحضن 5 دقائق في حرارة 37 درجة مئوية أو 10 دقائق بحرارة الغرفة 15-25 درجة مئوية.</w:t>
      </w:r>
    </w:p>
    <w:p w14:paraId="661E8443" w14:textId="77777777" w:rsidR="005E78E7" w:rsidRPr="005E78E7" w:rsidRDefault="005E78E7" w:rsidP="005E78E7">
      <w:pPr>
        <w:numPr>
          <w:ilvl w:val="0"/>
          <w:numId w:val="8"/>
        </w:numPr>
        <w:spacing w:after="120" w:line="276" w:lineRule="auto"/>
        <w:ind w:right="-284"/>
        <w:contextualSpacing/>
        <w:jc w:val="both"/>
        <w:rPr>
          <w:rFonts w:eastAsiaTheme="minorEastAsia"/>
          <w:lang w:bidi="ar-SY"/>
        </w:rPr>
      </w:pPr>
      <w:r w:rsidRPr="005E78E7">
        <w:rPr>
          <w:rFonts w:eastAsiaTheme="minorEastAsia"/>
          <w:rtl/>
          <w:lang w:bidi="ar-SY"/>
        </w:rPr>
        <w:t>تصفر مقياس الطيف الضوئي على البلانك عند طول الموجة</w:t>
      </w:r>
      <w:r w:rsidRPr="005E78E7">
        <w:rPr>
          <w:rFonts w:eastAsiaTheme="minorEastAsia"/>
          <w:lang w:bidi="ar-SY"/>
        </w:rPr>
        <w:t xml:space="preserve"> </w:t>
      </w:r>
      <w:r w:rsidRPr="005E78E7">
        <w:rPr>
          <w:rFonts w:eastAsiaTheme="minorEastAsia"/>
          <w:rtl/>
          <w:lang w:bidi="ar-SY"/>
        </w:rPr>
        <w:t>500</w:t>
      </w:r>
      <w:r w:rsidRPr="005E78E7">
        <w:rPr>
          <w:rFonts w:eastAsiaTheme="minorEastAsia"/>
          <w:lang w:bidi="ar-SY"/>
        </w:rPr>
        <w:t xml:space="preserve"> </w:t>
      </w:r>
      <w:r w:rsidRPr="005E78E7">
        <w:rPr>
          <w:rFonts w:eastAsiaTheme="minorEastAsia"/>
          <w:rtl/>
          <w:lang w:bidi="ar-SY"/>
        </w:rPr>
        <w:t>نانومتر.</w:t>
      </w:r>
    </w:p>
    <w:p w14:paraId="3BC4F853" w14:textId="77777777" w:rsidR="005E78E7" w:rsidRPr="005E78E7" w:rsidRDefault="005E78E7" w:rsidP="005E78E7">
      <w:pPr>
        <w:numPr>
          <w:ilvl w:val="0"/>
          <w:numId w:val="8"/>
        </w:numPr>
        <w:spacing w:after="120" w:line="276" w:lineRule="auto"/>
        <w:ind w:right="-284"/>
        <w:contextualSpacing/>
        <w:jc w:val="both"/>
        <w:rPr>
          <w:rFonts w:eastAsiaTheme="minorEastAsia"/>
          <w:rtl/>
          <w:lang w:bidi="ar-SY"/>
        </w:rPr>
      </w:pPr>
      <w:r w:rsidRPr="005E78E7">
        <w:rPr>
          <w:rFonts w:eastAsiaTheme="minorEastAsia"/>
          <w:rtl/>
          <w:lang w:bidi="ar-SY"/>
        </w:rPr>
        <w:t>تقاس الامتصاصية للعينة والعياري</w:t>
      </w:r>
    </w:p>
    <w:p w14:paraId="0E7756E8" w14:textId="77777777" w:rsidR="005E78E7" w:rsidRPr="005E78E7" w:rsidRDefault="005E78E7" w:rsidP="005E78E7">
      <w:pPr>
        <w:numPr>
          <w:ilvl w:val="0"/>
          <w:numId w:val="8"/>
        </w:numPr>
        <w:spacing w:after="120" w:line="276" w:lineRule="auto"/>
        <w:ind w:right="-284"/>
        <w:contextualSpacing/>
        <w:jc w:val="both"/>
        <w:rPr>
          <w:rFonts w:eastAsiaTheme="minorEastAsia"/>
          <w:lang w:bidi="ar-SY"/>
        </w:rPr>
      </w:pPr>
      <w:r w:rsidRPr="005E78E7">
        <w:rPr>
          <w:rFonts w:eastAsiaTheme="minorEastAsia"/>
          <w:rtl/>
          <w:lang w:bidi="ar-SY"/>
        </w:rPr>
        <w:t xml:space="preserve">يتم حساب تركيز حمض البول في العينة وفق المعادلة التالية علماً ان تركيز العياري 6 مغ/دل: </w:t>
      </w:r>
    </w:p>
    <w:p w14:paraId="134DB217" w14:textId="77777777" w:rsidR="005E78E7" w:rsidRPr="005E78E7" w:rsidRDefault="005E78E7" w:rsidP="005E78E7">
      <w:pPr>
        <w:spacing w:after="120" w:line="276" w:lineRule="auto"/>
        <w:ind w:left="-279" w:right="-284"/>
        <w:jc w:val="both"/>
        <w:rPr>
          <w:rFonts w:eastAsiaTheme="minorEastAsia"/>
          <w:lang w:bidi="ar-SY"/>
        </w:rPr>
      </w:pPr>
      <m:oMathPara>
        <m:oMath>
          <m:r>
            <m:rPr>
              <m:sty m:val="p"/>
            </m:rPr>
            <w:rPr>
              <w:rFonts w:ascii="Cambria Math" w:eastAsiaTheme="minorEastAsia" w:hAnsi="Cambria Math"/>
              <w:lang w:bidi="ar-SY"/>
            </w:rPr>
            <m:t xml:space="preserve">Uric acid concentration </m:t>
          </m:r>
          <m:d>
            <m:dPr>
              <m:ctrlPr>
                <w:rPr>
                  <w:rFonts w:ascii="Cambria Math" w:eastAsiaTheme="minorEastAsia" w:hAnsi="Cambria Math"/>
                  <w:lang w:bidi="ar-SY"/>
                </w:rPr>
              </m:ctrlPr>
            </m:dPr>
            <m:e>
              <m:r>
                <m:rPr>
                  <m:sty m:val="p"/>
                </m:rPr>
                <w:rPr>
                  <w:rFonts w:ascii="Cambria Math" w:eastAsiaTheme="minorEastAsia" w:hAnsi="Cambria Math"/>
                  <w:lang w:bidi="ar-SY"/>
                </w:rPr>
                <m:t>sample</m:t>
              </m:r>
            </m:e>
          </m:d>
          <m:r>
            <m:rPr>
              <m:sty m:val="p"/>
            </m:rPr>
            <w:rPr>
              <w:rFonts w:ascii="Cambria Math" w:eastAsiaTheme="minorEastAsia" w:hAnsi="Cambria Math"/>
              <w:lang w:bidi="ar-SY"/>
            </w:rPr>
            <m:t>=</m:t>
          </m:r>
          <m:f>
            <m:fPr>
              <m:ctrlPr>
                <w:rPr>
                  <w:rFonts w:ascii="Cambria Math" w:eastAsiaTheme="minorEastAsia" w:hAnsi="Cambria Math"/>
                  <w:lang w:bidi="ar-SY"/>
                </w:rPr>
              </m:ctrlPr>
            </m:fPr>
            <m:num>
              <m:r>
                <m:rPr>
                  <m:sty m:val="p"/>
                </m:rPr>
                <w:rPr>
                  <w:rFonts w:ascii="Cambria Math" w:eastAsiaTheme="minorEastAsia" w:hAnsi="Cambria Math"/>
                  <w:lang w:bidi="ar-SY"/>
                </w:rPr>
                <m:t xml:space="preserve">A </m:t>
              </m:r>
              <m:d>
                <m:dPr>
                  <m:ctrlPr>
                    <w:rPr>
                      <w:rFonts w:ascii="Cambria Math" w:eastAsiaTheme="minorEastAsia" w:hAnsi="Cambria Math"/>
                      <w:lang w:bidi="ar-SY"/>
                    </w:rPr>
                  </m:ctrlPr>
                </m:dPr>
                <m:e>
                  <m:r>
                    <m:rPr>
                      <m:sty m:val="p"/>
                    </m:rPr>
                    <w:rPr>
                      <w:rFonts w:ascii="Cambria Math" w:eastAsiaTheme="minorEastAsia" w:hAnsi="Cambria Math"/>
                      <w:lang w:bidi="ar-SY"/>
                    </w:rPr>
                    <m:t>sample</m:t>
                  </m:r>
                </m:e>
              </m:d>
            </m:num>
            <m:den>
              <m:r>
                <w:rPr>
                  <w:rFonts w:ascii="Cambria Math" w:eastAsiaTheme="minorEastAsia" w:hAnsi="Cambria Math"/>
                  <w:lang w:bidi="ar-SY"/>
                </w:rPr>
                <m:t>A</m:t>
              </m:r>
              <m:r>
                <m:rPr>
                  <m:sty m:val="p"/>
                </m:rPr>
                <w:rPr>
                  <w:rFonts w:ascii="Cambria Math" w:eastAsiaTheme="minorEastAsia" w:hAnsi="Cambria Math"/>
                  <w:lang w:bidi="ar-SY"/>
                </w:rPr>
                <m:t xml:space="preserve"> </m:t>
              </m:r>
              <m:d>
                <m:dPr>
                  <m:ctrlPr>
                    <w:rPr>
                      <w:rFonts w:ascii="Cambria Math" w:eastAsiaTheme="minorEastAsia" w:hAnsi="Cambria Math"/>
                      <w:lang w:bidi="ar-SY"/>
                    </w:rPr>
                  </m:ctrlPr>
                </m:dPr>
                <m:e>
                  <m:r>
                    <w:rPr>
                      <w:rFonts w:ascii="Cambria Math" w:eastAsiaTheme="minorEastAsia" w:hAnsi="Cambria Math"/>
                      <w:lang w:bidi="ar-SY"/>
                    </w:rPr>
                    <m:t>standard</m:t>
                  </m:r>
                </m:e>
              </m:d>
            </m:den>
          </m:f>
          <m:r>
            <m:rPr>
              <m:sty m:val="p"/>
            </m:rPr>
            <w:rPr>
              <w:rFonts w:ascii="Cambria Math" w:eastAsiaTheme="minorEastAsia" w:hAnsi="Cambria Math"/>
              <w:lang w:bidi="ar-SY"/>
            </w:rPr>
            <m:t xml:space="preserve"> </m:t>
          </m:r>
          <m:r>
            <w:rPr>
              <w:rFonts w:ascii="Cambria Math" w:eastAsiaTheme="minorEastAsia" w:hAnsi="Cambria Math"/>
              <w:lang w:bidi="ar-SY"/>
            </w:rPr>
            <m:t>x</m:t>
          </m:r>
          <m:r>
            <m:rPr>
              <m:sty m:val="p"/>
            </m:rPr>
            <w:rPr>
              <w:rFonts w:ascii="Cambria Math" w:eastAsiaTheme="minorEastAsia" w:hAnsi="Cambria Math"/>
              <w:lang w:bidi="ar-SY"/>
            </w:rPr>
            <m:t xml:space="preserve"> </m:t>
          </m:r>
          <m:r>
            <w:rPr>
              <w:rFonts w:ascii="Cambria Math" w:eastAsiaTheme="minorEastAsia" w:hAnsi="Cambria Math"/>
              <w:lang w:bidi="ar-SY"/>
            </w:rPr>
            <m:t>C</m:t>
          </m:r>
          <m:r>
            <m:rPr>
              <m:sty m:val="p"/>
            </m:rPr>
            <w:rPr>
              <w:rFonts w:ascii="Cambria Math" w:eastAsiaTheme="minorEastAsia" w:hAnsi="Cambria Math"/>
              <w:lang w:bidi="ar-SY"/>
            </w:rPr>
            <m:t xml:space="preserve"> (</m:t>
          </m:r>
          <m:r>
            <w:rPr>
              <w:rFonts w:ascii="Cambria Math" w:eastAsiaTheme="minorEastAsia" w:hAnsi="Cambria Math"/>
              <w:lang w:bidi="ar-SY"/>
            </w:rPr>
            <m:t>standard</m:t>
          </m:r>
          <m:r>
            <m:rPr>
              <m:sty m:val="p"/>
            </m:rPr>
            <w:rPr>
              <w:rFonts w:ascii="Cambria Math" w:eastAsiaTheme="minorEastAsia" w:hAnsi="Cambria Math"/>
              <w:lang w:bidi="ar-SY"/>
            </w:rPr>
            <m:t>)</m:t>
          </m:r>
        </m:oMath>
      </m:oMathPara>
    </w:p>
    <w:p w14:paraId="26B5CB7D" w14:textId="77777777" w:rsidR="005E78E7" w:rsidRPr="005E78E7" w:rsidRDefault="005E78E7" w:rsidP="005E78E7">
      <w:pPr>
        <w:bidi w:val="0"/>
        <w:spacing w:after="120" w:line="276" w:lineRule="auto"/>
        <w:jc w:val="both"/>
        <w:rPr>
          <w:rFonts w:eastAsiaTheme="minorEastAsia"/>
          <w:lang w:bidi="ar-SY"/>
        </w:rPr>
      </w:pPr>
    </w:p>
    <w:p w14:paraId="6DF26073" w14:textId="77777777" w:rsidR="005E78E7" w:rsidRPr="00446A4B" w:rsidRDefault="005E78E7" w:rsidP="00D05624"/>
    <w:sectPr w:rsidR="005E78E7" w:rsidRPr="00446A4B" w:rsidSect="009C0A33">
      <w:headerReference w:type="default" r:id="rId14"/>
      <w:footerReference w:type="default" r:id="rId15"/>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9B7C" w14:textId="77777777" w:rsidR="00BB62C7" w:rsidRDefault="00BB62C7" w:rsidP="00D05624">
      <w:r>
        <w:separator/>
      </w:r>
    </w:p>
  </w:endnote>
  <w:endnote w:type="continuationSeparator" w:id="0">
    <w:p w14:paraId="10823160" w14:textId="77777777" w:rsidR="00BB62C7" w:rsidRDefault="00BB62C7"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9473" w14:textId="77777777" w:rsidR="00BB62C7" w:rsidRDefault="00BB62C7" w:rsidP="00D05624">
      <w:r>
        <w:separator/>
      </w:r>
    </w:p>
  </w:footnote>
  <w:footnote w:type="continuationSeparator" w:id="0">
    <w:p w14:paraId="79057432" w14:textId="77777777" w:rsidR="00BB62C7" w:rsidRDefault="00BB62C7"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9630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3A1"/>
    <w:multiLevelType w:val="hybridMultilevel"/>
    <w:tmpl w:val="9BCEB89E"/>
    <w:lvl w:ilvl="0" w:tplc="5680BF0A">
      <w:start w:val="1"/>
      <w:numFmt w:val="decimal"/>
      <w:lvlText w:val="%1."/>
      <w:lvlJc w:val="left"/>
      <w:pPr>
        <w:ind w:left="81"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1" w15:restartNumberingAfterBreak="0">
    <w:nsid w:val="09DF54BE"/>
    <w:multiLevelType w:val="hybridMultilevel"/>
    <w:tmpl w:val="AEEE7F9E"/>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2" w15:restartNumberingAfterBreak="0">
    <w:nsid w:val="14B76DA0"/>
    <w:multiLevelType w:val="hybridMultilevel"/>
    <w:tmpl w:val="AD0C4994"/>
    <w:lvl w:ilvl="0" w:tplc="495A8432">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B7A98"/>
    <w:multiLevelType w:val="hybridMultilevel"/>
    <w:tmpl w:val="F7A03CA2"/>
    <w:lvl w:ilvl="0" w:tplc="0409000F">
      <w:start w:val="1"/>
      <w:numFmt w:val="decimal"/>
      <w:lvlText w:val="%1."/>
      <w:lvlJc w:val="left"/>
      <w:pPr>
        <w:ind w:left="441" w:hanging="360"/>
      </w:p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5"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6" w15:restartNumberingAfterBreak="0">
    <w:nsid w:val="72FD1E3F"/>
    <w:multiLevelType w:val="hybridMultilevel"/>
    <w:tmpl w:val="2E364836"/>
    <w:lvl w:ilvl="0" w:tplc="04090001">
      <w:start w:val="1"/>
      <w:numFmt w:val="bullet"/>
      <w:lvlText w:val=""/>
      <w:lvlJc w:val="left"/>
      <w:pPr>
        <w:ind w:left="441" w:hanging="360"/>
      </w:pPr>
      <w:rPr>
        <w:rFonts w:ascii="Symbol" w:hAnsi="Symbol"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7"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7"/>
  </w:num>
  <w:num w:numId="3" w16cid:durableId="217057474">
    <w:abstractNumId w:val="5"/>
  </w:num>
  <w:num w:numId="4" w16cid:durableId="157580076">
    <w:abstractNumId w:val="1"/>
  </w:num>
  <w:num w:numId="5" w16cid:durableId="1290744713">
    <w:abstractNumId w:val="4"/>
  </w:num>
  <w:num w:numId="6" w16cid:durableId="2136176774">
    <w:abstractNumId w:val="2"/>
  </w:num>
  <w:num w:numId="7" w16cid:durableId="537472683">
    <w:abstractNumId w:val="6"/>
  </w:num>
  <w:num w:numId="8" w16cid:durableId="32467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63390"/>
    <w:rsid w:val="000B6526"/>
    <w:rsid w:val="00137DC0"/>
    <w:rsid w:val="001579D9"/>
    <w:rsid w:val="00167CE4"/>
    <w:rsid w:val="0017222F"/>
    <w:rsid w:val="00187BB0"/>
    <w:rsid w:val="0019630F"/>
    <w:rsid w:val="001F783B"/>
    <w:rsid w:val="00300C7F"/>
    <w:rsid w:val="003B7058"/>
    <w:rsid w:val="003E1627"/>
    <w:rsid w:val="00446A4B"/>
    <w:rsid w:val="0049227E"/>
    <w:rsid w:val="004D06C8"/>
    <w:rsid w:val="005B4EF4"/>
    <w:rsid w:val="005E78E7"/>
    <w:rsid w:val="005F696B"/>
    <w:rsid w:val="00664A51"/>
    <w:rsid w:val="006E55D8"/>
    <w:rsid w:val="00701B29"/>
    <w:rsid w:val="00727C27"/>
    <w:rsid w:val="0083168D"/>
    <w:rsid w:val="00847301"/>
    <w:rsid w:val="00855B13"/>
    <w:rsid w:val="00913659"/>
    <w:rsid w:val="009C0A33"/>
    <w:rsid w:val="009C0CB4"/>
    <w:rsid w:val="00A057F2"/>
    <w:rsid w:val="00A6175F"/>
    <w:rsid w:val="00A66825"/>
    <w:rsid w:val="00AC0DE1"/>
    <w:rsid w:val="00BB2074"/>
    <w:rsid w:val="00BB62C7"/>
    <w:rsid w:val="00C451AF"/>
    <w:rsid w:val="00D05624"/>
    <w:rsid w:val="00D62DD4"/>
    <w:rsid w:val="00D8744D"/>
    <w:rsid w:val="00DA5A58"/>
    <w:rsid w:val="00DA5EDB"/>
    <w:rsid w:val="00DC2F28"/>
    <w:rsid w:val="00DC30F6"/>
    <w:rsid w:val="00E03332"/>
    <w:rsid w:val="00E05CB7"/>
    <w:rsid w:val="00E10D7E"/>
    <w:rsid w:val="00E926F6"/>
    <w:rsid w:val="00EB5CAD"/>
    <w:rsid w:val="00EE29E3"/>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styleId="GridTable1Light">
    <w:name w:val="Grid Table 1 Light"/>
    <w:basedOn w:val="TableNormal"/>
    <w:uiPriority w:val="46"/>
    <w:rsid w:val="005E78E7"/>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10</cp:revision>
  <cp:lastPrinted>2023-05-02T06:37:00Z</cp:lastPrinted>
  <dcterms:created xsi:type="dcterms:W3CDTF">2023-05-03T09:14:00Z</dcterms:created>
  <dcterms:modified xsi:type="dcterms:W3CDTF">2023-05-10T07:01:00Z</dcterms:modified>
</cp:coreProperties>
</file>