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5B8B976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</w:t>
      </w:r>
      <w:r w:rsidR="002D09B6">
        <w:rPr>
          <w:rFonts w:ascii="Sakkal Majalla" w:hAnsi="Sakkal Majalla" w:cs="Sakkal Majalla" w:hint="cs"/>
          <w:rtl/>
        </w:rPr>
        <w:t xml:space="preserve"> السريرية</w:t>
      </w:r>
    </w:p>
    <w:p w14:paraId="7B8DC8B7" w14:textId="494BA7F4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2D09B6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2A49E1A" w14:textId="77777777" w:rsidR="002D09B6" w:rsidRPr="002D09B6" w:rsidRDefault="002D09B6" w:rsidP="002D09B6">
      <w:pPr>
        <w:pStyle w:val="Heading1"/>
        <w:rPr>
          <w:rFonts w:ascii="Sakkal Majalla" w:hAnsi="Sakkal Majalla" w:cs="Sakkal Majalla"/>
          <w:rtl/>
        </w:rPr>
      </w:pPr>
      <w:r w:rsidRPr="00087306">
        <w:rPr>
          <w:rFonts w:ascii="Sakkal Majalla" w:hAnsi="Sakkal Majalla" w:cs="Sakkal Majalla" w:hint="cs"/>
          <w:rtl/>
        </w:rPr>
        <w:t xml:space="preserve">استقصاءات استقلاب الشحميات (معايرة الشحوم </w:t>
      </w:r>
      <w:r w:rsidRPr="002D09B6">
        <w:rPr>
          <w:rFonts w:ascii="Sakkal Majalla" w:hAnsi="Sakkal Majalla" w:cs="Sakkal Majalla" w:hint="cs"/>
          <w:rtl/>
        </w:rPr>
        <w:t>الثلاثية)</w:t>
      </w:r>
    </w:p>
    <w:p w14:paraId="60523DB6" w14:textId="77777777" w:rsidR="002D09B6" w:rsidRPr="002D09B6" w:rsidRDefault="002D09B6" w:rsidP="002D09B6">
      <w:pPr>
        <w:pStyle w:val="Heading1"/>
        <w:rPr>
          <w:rFonts w:ascii="Sakkal Majalla" w:hAnsi="Sakkal Majalla" w:cs="Sakkal Majalla"/>
          <w:rtl/>
        </w:rPr>
      </w:pPr>
      <w:r w:rsidRPr="002D09B6">
        <w:rPr>
          <w:rFonts w:ascii="Sakkal Majalla" w:hAnsi="Sakkal Majalla" w:cs="Sakkal Majalla"/>
        </w:rPr>
        <w:t>Triacylglycerol (Triglyceride)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B1DA1D8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6D5F2D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العام الدراسي</w:t>
      </w:r>
      <w:r w:rsidR="006D5F2D">
        <w:rPr>
          <w:b/>
          <w:bCs/>
        </w:rPr>
        <w:t>2022-2023</w:t>
      </w:r>
      <w:r w:rsidR="006D5F2D">
        <w:rPr>
          <w:rFonts w:hint="cs"/>
          <w:b/>
          <w:bCs/>
          <w:rtl/>
        </w:rPr>
        <w:t xml:space="preserve"> </w:t>
      </w:r>
    </w:p>
    <w:p w14:paraId="0FDC0650" w14:textId="77777777" w:rsidR="00913814" w:rsidRDefault="00913814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0363345A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BE6766E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والمقدمة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5A9C94AD" w:rsidR="00855B13" w:rsidRPr="00446A4B" w:rsidRDefault="0008730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طرائق معايرة الشحوم الثلاثية</w:t>
            </w:r>
          </w:p>
        </w:tc>
        <w:tc>
          <w:tcPr>
            <w:tcW w:w="1553" w:type="dxa"/>
          </w:tcPr>
          <w:p w14:paraId="2F9FBC90" w14:textId="4993D52E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C15EE29" w:rsidR="00855B13" w:rsidRPr="006A697C" w:rsidRDefault="00087306" w:rsidP="00D05624">
            <w:pPr>
              <w:pStyle w:val="Title"/>
              <w:rPr>
                <w:rFonts w:ascii="Sakkal Majalla" w:hAnsi="Sakkal Majalla" w:cs="Sakkal Majalla"/>
                <w:sz w:val="52"/>
              </w:rPr>
            </w:pPr>
            <w:r w:rsidRPr="00087306">
              <w:rPr>
                <w:rFonts w:ascii="Sakkal Majalla" w:hAnsi="Sakkal Majalla" w:cs="Sakkal Majalla"/>
                <w:rtl/>
              </w:rPr>
              <w:t>القيم السوية لل</w:t>
            </w:r>
            <w:r w:rsidR="006A697C">
              <w:rPr>
                <w:rFonts w:ascii="Sakkal Majalla" w:hAnsi="Sakkal Majalla" w:cs="Sakkal Majalla" w:hint="cs"/>
                <w:rtl/>
              </w:rPr>
              <w:t xml:space="preserve">ـ </w:t>
            </w:r>
            <w:r w:rsidR="006A697C">
              <w:rPr>
                <w:rFonts w:ascii="Sakkal Majalla" w:hAnsi="Sakkal Majalla" w:cs="Sakkal Majalla"/>
                <w:sz w:val="52"/>
              </w:rPr>
              <w:t>TAG</w:t>
            </w:r>
          </w:p>
        </w:tc>
        <w:tc>
          <w:tcPr>
            <w:tcW w:w="1553" w:type="dxa"/>
          </w:tcPr>
          <w:p w14:paraId="1511773D" w14:textId="1960F695" w:rsidR="00855B13" w:rsidRPr="00446A4B" w:rsidRDefault="006A697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332599E7" w:rsidR="00855B13" w:rsidRPr="00446A4B" w:rsidRDefault="006A697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التغيرات المرضية وتفسير النتائج</w:t>
            </w:r>
          </w:p>
        </w:tc>
        <w:tc>
          <w:tcPr>
            <w:tcW w:w="1553" w:type="dxa"/>
          </w:tcPr>
          <w:p w14:paraId="52E59292" w14:textId="52E54FB3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6A697C" w:rsidRPr="00446A4B" w14:paraId="14D972A0" w14:textId="77777777" w:rsidTr="00855B13">
        <w:tc>
          <w:tcPr>
            <w:tcW w:w="7463" w:type="dxa"/>
          </w:tcPr>
          <w:p w14:paraId="532D0863" w14:textId="24EBB7C7" w:rsidR="006A697C" w:rsidRPr="006A697C" w:rsidRDefault="006A697C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شروط تحليل الـ </w:t>
            </w:r>
            <w:r>
              <w:rPr>
                <w:rFonts w:ascii="Sakkal Majalla" w:hAnsi="Sakkal Majalla" w:cs="Sakkal Majalla"/>
                <w:sz w:val="52"/>
              </w:rPr>
              <w:t>TAG</w:t>
            </w:r>
            <w:r>
              <w:rPr>
                <w:rFonts w:ascii="Sakkal Majalla" w:hAnsi="Sakkal Majalla" w:cs="Sakkal Majalla" w:hint="cs"/>
                <w:sz w:val="52"/>
                <w:rtl/>
              </w:rPr>
              <w:t xml:space="preserve"> والشحوم العامة</w:t>
            </w:r>
          </w:p>
        </w:tc>
        <w:tc>
          <w:tcPr>
            <w:tcW w:w="1553" w:type="dxa"/>
          </w:tcPr>
          <w:p w14:paraId="01A793B0" w14:textId="01F6178D" w:rsidR="006A697C" w:rsidRDefault="006A697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6A697C" w:rsidRPr="00446A4B" w14:paraId="2B050BC3" w14:textId="77777777" w:rsidTr="00855B13">
        <w:tc>
          <w:tcPr>
            <w:tcW w:w="7463" w:type="dxa"/>
          </w:tcPr>
          <w:p w14:paraId="3400E36F" w14:textId="4B485B88" w:rsidR="006A697C" w:rsidRDefault="006A697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2121DC16" w14:textId="31EC3F28" w:rsidR="006A697C" w:rsidRDefault="006A697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386E9BCD" w14:textId="662E2E61" w:rsidR="002D09B6" w:rsidRPr="00F77174" w:rsidRDefault="002D09B6" w:rsidP="002D09B6">
      <w:pPr>
        <w:rPr>
          <w:rtl/>
          <w:lang w:bidi="ar-SY"/>
        </w:rPr>
      </w:pPr>
      <w:bookmarkStart w:id="1" w:name="_Toc133308113"/>
      <w:r>
        <w:rPr>
          <w:rFonts w:hint="cs"/>
          <w:rtl/>
          <w:lang w:bidi="ar-SY"/>
        </w:rPr>
        <w:t>التعريف بالشحوم الثلاثية وأنواعها، طرق معايرتها، القيم المرجعية له</w:t>
      </w:r>
      <w:r w:rsidR="00087306">
        <w:rPr>
          <w:rFonts w:hint="cs"/>
          <w:rtl/>
          <w:lang w:bidi="ar-SY"/>
        </w:rPr>
        <w:t>ا، التغيرات المرضية وتفسير النتائج.</w:t>
      </w:r>
      <w:r>
        <w:rPr>
          <w:rFonts w:hint="cs"/>
          <w:rtl/>
          <w:lang w:bidi="ar-SY"/>
        </w:rPr>
        <w:t xml:space="preserve"> 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791C6BE1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>من الملاحظ أن أكثر الاعتلالات الكيميائية الحيوية التي تشاهد في المخبر السريري هي اعتلالات الشحوم والبروتينات الشحمية التي يزداد تواترها مع تقدم العمر عن</w:t>
      </w:r>
      <w:r w:rsidRPr="001A5C1E">
        <w:rPr>
          <w:rFonts w:hint="eastAsia"/>
          <w:rtl/>
          <w:lang w:bidi="ar-SY"/>
        </w:rPr>
        <w:t>د</w:t>
      </w:r>
      <w:r w:rsidRPr="001A5C1E">
        <w:rPr>
          <w:rFonts w:hint="cs"/>
          <w:rtl/>
          <w:lang w:bidi="ar-SY"/>
        </w:rPr>
        <w:t xml:space="preserve"> الجنسين.</w:t>
      </w:r>
    </w:p>
    <w:p w14:paraId="52638AA7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>تعاير مستويات الشحوم في المصل للغايات التالية:</w:t>
      </w:r>
    </w:p>
    <w:p w14:paraId="4FCB0282" w14:textId="77777777" w:rsidR="00087306" w:rsidRPr="001A5C1E" w:rsidRDefault="00087306" w:rsidP="00087306">
      <w:pPr>
        <w:numPr>
          <w:ilvl w:val="0"/>
          <w:numId w:val="4"/>
        </w:num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تشخيص فرط شحميات الدم </w:t>
      </w:r>
      <w:r w:rsidRPr="001A5C1E">
        <w:rPr>
          <w:lang w:bidi="ar-SY"/>
        </w:rPr>
        <w:t>hyperlipidemia</w:t>
      </w:r>
      <w:r w:rsidRPr="001A5C1E">
        <w:rPr>
          <w:rFonts w:hint="cs"/>
          <w:rtl/>
          <w:lang w:bidi="ar-SY"/>
        </w:rPr>
        <w:t xml:space="preserve"> وفرط البروتينات الشحمية </w:t>
      </w:r>
      <w:r w:rsidRPr="001A5C1E">
        <w:rPr>
          <w:lang w:bidi="ar-SY"/>
        </w:rPr>
        <w:t>hyperlipoproteinemia</w:t>
      </w:r>
    </w:p>
    <w:p w14:paraId="3A2C06E6" w14:textId="77777777" w:rsidR="00087306" w:rsidRPr="001A5C1E" w:rsidRDefault="00087306" w:rsidP="00087306">
      <w:pPr>
        <w:numPr>
          <w:ilvl w:val="0"/>
          <w:numId w:val="4"/>
        </w:num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>مراقبة الأشخاص الموضوعين على حمية غذائية أو أدوية خافضة للشحوم والبروتينات الشحمية.</w:t>
      </w:r>
    </w:p>
    <w:p w14:paraId="195BA46F" w14:textId="1373F019" w:rsidR="00AC0DE1" w:rsidRPr="00087306" w:rsidRDefault="00087306" w:rsidP="00087306">
      <w:pPr>
        <w:numPr>
          <w:ilvl w:val="0"/>
          <w:numId w:val="4"/>
        </w:num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تقييم عوامل خطر الإصابة بأمراض القلب الوعائية مثل الداء القلبي الاكليلي </w:t>
      </w:r>
      <w:r w:rsidRPr="001A5C1E">
        <w:rPr>
          <w:lang w:bidi="ar-SY"/>
        </w:rPr>
        <w:t>Coronary heart disease (CHD)</w:t>
      </w:r>
      <w:r w:rsidRPr="001A5C1E">
        <w:rPr>
          <w:rFonts w:hint="cs"/>
          <w:rtl/>
          <w:lang w:bidi="ar-SY"/>
        </w:rPr>
        <w:t xml:space="preserve"> حيث أن المرضى المصابين بالـ </w:t>
      </w:r>
      <w:r w:rsidRPr="001A5C1E">
        <w:rPr>
          <w:lang w:bidi="ar-SY"/>
        </w:rPr>
        <w:t>CHD</w:t>
      </w:r>
      <w:r w:rsidRPr="001A5C1E">
        <w:rPr>
          <w:rFonts w:hint="cs"/>
          <w:rtl/>
          <w:lang w:bidi="ar-SY"/>
        </w:rPr>
        <w:t xml:space="preserve"> يجب أن يقاس لديهم الكولسترول الكلي والـ </w:t>
      </w:r>
      <w:r w:rsidRPr="001A5C1E">
        <w:rPr>
          <w:lang w:bidi="ar-SY"/>
        </w:rPr>
        <w:t>LDL</w:t>
      </w:r>
      <w:r w:rsidRPr="001A5C1E">
        <w:rPr>
          <w:rFonts w:hint="cs"/>
          <w:rtl/>
          <w:lang w:bidi="ar-SY"/>
        </w:rPr>
        <w:t xml:space="preserve"> والـ </w:t>
      </w:r>
      <w:r w:rsidRPr="001A5C1E">
        <w:rPr>
          <w:lang w:bidi="ar-SY"/>
        </w:rPr>
        <w:t>HDL</w:t>
      </w:r>
      <w:r w:rsidRPr="001A5C1E">
        <w:rPr>
          <w:rFonts w:hint="cs"/>
          <w:rtl/>
          <w:lang w:bidi="ar-SY"/>
        </w:rPr>
        <w:t xml:space="preserve"> وتحديد النسبة  </w:t>
      </w:r>
      <m:oMath>
        <m:f>
          <m:fPr>
            <m:ctrlPr>
              <w:rPr>
                <w:rFonts w:ascii="Cambria Math" w:hAnsi="Cambria Math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ar-SY"/>
              </w:rPr>
              <m:t>LDL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SY"/>
              </w:rPr>
              <m:t>HDL</m:t>
            </m:r>
          </m:den>
        </m:f>
      </m:oMath>
      <w:r w:rsidRPr="001A5C1E">
        <w:rPr>
          <w:rFonts w:hint="cs"/>
          <w:rtl/>
          <w:lang w:bidi="ar-SY"/>
        </w:rPr>
        <w:t xml:space="preserve"> و </w:t>
      </w:r>
      <m:oMath>
        <m:f>
          <m:fPr>
            <m:ctrlPr>
              <w:rPr>
                <w:rFonts w:ascii="Cambria Math" w:hAnsi="Cambria Math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  <w:lang w:bidi="ar-SY"/>
              </w:rPr>
              <m:t>الكلي الكولسترول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SY"/>
              </w:rPr>
              <m:t>HDL</m:t>
            </m:r>
          </m:den>
        </m:f>
      </m:oMath>
      <w:r w:rsidRPr="001A5C1E">
        <w:rPr>
          <w:rFonts w:hint="cs"/>
          <w:rtl/>
          <w:lang w:bidi="ar-SY"/>
        </w:rPr>
        <w:t xml:space="preserve">  التي تعتبر مناسب للتصلب العصيدي </w:t>
      </w:r>
      <w:r w:rsidRPr="001A5C1E">
        <w:rPr>
          <w:lang w:bidi="ar-SY"/>
        </w:rPr>
        <w:t>Atherosclerosis index</w:t>
      </w:r>
      <w:r w:rsidRPr="001A5C1E">
        <w:rPr>
          <w:rFonts w:hint="cs"/>
          <w:rtl/>
          <w:lang w:bidi="ar-SY"/>
        </w:rPr>
        <w:t>.</w:t>
      </w:r>
    </w:p>
    <w:p w14:paraId="654E448A" w14:textId="77777777" w:rsidR="00087306" w:rsidRPr="0048261F" w:rsidRDefault="00087306" w:rsidP="00087306">
      <w:pPr>
        <w:spacing w:after="0" w:line="240" w:lineRule="auto"/>
        <w:jc w:val="both"/>
        <w:rPr>
          <w:b/>
          <w:bCs/>
          <w:rtl/>
          <w:lang w:bidi="ar-SY"/>
        </w:rPr>
      </w:pPr>
      <w:r w:rsidRPr="0048261F">
        <w:rPr>
          <w:rFonts w:hint="cs"/>
          <w:b/>
          <w:bCs/>
          <w:rtl/>
          <w:lang w:bidi="ar-SY"/>
        </w:rPr>
        <w:t>وتتكون شحميات الدم من الأجزاء التالية:</w:t>
      </w:r>
    </w:p>
    <w:p w14:paraId="06A850A8" w14:textId="77777777" w:rsidR="00087306" w:rsidRPr="001A5C1E" w:rsidRDefault="00087306" w:rsidP="00087306">
      <w:pPr>
        <w:numPr>
          <w:ilvl w:val="0"/>
          <w:numId w:val="5"/>
        </w:numPr>
        <w:spacing w:after="0" w:line="240" w:lineRule="auto"/>
        <w:jc w:val="both"/>
        <w:rPr>
          <w:lang w:bidi="ar-SY"/>
        </w:rPr>
      </w:pPr>
      <w:r w:rsidRPr="0048261F">
        <w:rPr>
          <w:rFonts w:hint="cs"/>
          <w:b/>
          <w:bCs/>
          <w:rtl/>
          <w:lang w:bidi="ar-SY"/>
        </w:rPr>
        <w:t xml:space="preserve">الحموض الدسمة الحرة </w:t>
      </w:r>
      <w:r w:rsidRPr="0048261F">
        <w:rPr>
          <w:b/>
          <w:bCs/>
          <w:lang w:bidi="ar-SY"/>
        </w:rPr>
        <w:t>Free fatty acids (FFA)</w:t>
      </w:r>
      <w:r w:rsidRPr="0048261F">
        <w:rPr>
          <w:rFonts w:hint="cs"/>
          <w:b/>
          <w:bCs/>
          <w:rtl/>
          <w:lang w:bidi="ar-SY"/>
        </w:rPr>
        <w:t xml:space="preserve">: </w:t>
      </w:r>
      <w:r w:rsidRPr="001A5C1E">
        <w:rPr>
          <w:rFonts w:hint="cs"/>
          <w:rtl/>
          <w:lang w:bidi="ar-SY"/>
        </w:rPr>
        <w:t xml:space="preserve">أي الحموض الدسمة غير المؤسترة وتوجد في البلازما بكميات قليلة حوالي 5% متحدة مع الألبومين. ويزداد مقدار الحموض الدسمة في البلازما بازدياد تحررها من النسيج الشحمي </w:t>
      </w:r>
      <w:r w:rsidRPr="001A5C1E">
        <w:rPr>
          <w:lang w:bidi="ar-SY"/>
        </w:rPr>
        <w:t>Adipose tissue</w:t>
      </w:r>
      <w:r w:rsidRPr="001A5C1E">
        <w:rPr>
          <w:rFonts w:hint="cs"/>
          <w:rtl/>
          <w:lang w:bidi="ar-SY"/>
        </w:rPr>
        <w:t xml:space="preserve"> في العضوية بتأثير عوامل كالصيام وفرط نشاط الدرق وعند حقن العضوية بالايبينفرين.</w:t>
      </w:r>
    </w:p>
    <w:p w14:paraId="022AED70" w14:textId="77777777" w:rsidR="00087306" w:rsidRPr="001A5C1E" w:rsidRDefault="00087306" w:rsidP="00087306">
      <w:pPr>
        <w:numPr>
          <w:ilvl w:val="0"/>
          <w:numId w:val="5"/>
        </w:numPr>
        <w:spacing w:after="0" w:line="240" w:lineRule="auto"/>
        <w:jc w:val="both"/>
        <w:rPr>
          <w:lang w:bidi="ar-SY"/>
        </w:rPr>
      </w:pPr>
      <w:r w:rsidRPr="0048261F">
        <w:rPr>
          <w:rFonts w:hint="cs"/>
          <w:b/>
          <w:bCs/>
          <w:rtl/>
          <w:lang w:bidi="ar-SY"/>
        </w:rPr>
        <w:t>الكوليسترول:</w:t>
      </w:r>
      <w:r w:rsidRPr="001A5C1E">
        <w:rPr>
          <w:rFonts w:hint="cs"/>
          <w:rtl/>
          <w:lang w:bidi="ar-SY"/>
        </w:rPr>
        <w:t xml:space="preserve"> بشكليه الغولي (الحر) والمؤستر (المتحد مع الحمض الدسمة) وكلا الشكلين يؤلفان الكوليسترول الكلي ويوجد بكميات كبيرة نسبياً في العضوية.</w:t>
      </w:r>
    </w:p>
    <w:p w14:paraId="43E3A233" w14:textId="77777777" w:rsidR="00087306" w:rsidRPr="001A5C1E" w:rsidRDefault="00087306" w:rsidP="00087306">
      <w:pPr>
        <w:numPr>
          <w:ilvl w:val="0"/>
          <w:numId w:val="5"/>
        </w:numPr>
        <w:spacing w:after="0" w:line="240" w:lineRule="auto"/>
        <w:jc w:val="both"/>
        <w:rPr>
          <w:rtl/>
          <w:lang w:bidi="ar-SY"/>
        </w:rPr>
      </w:pPr>
      <w:r w:rsidRPr="0048261F">
        <w:rPr>
          <w:rFonts w:hint="cs"/>
          <w:b/>
          <w:bCs/>
          <w:rtl/>
          <w:lang w:bidi="ar-SY"/>
        </w:rPr>
        <w:t>الشحميات الفوسفورية (</w:t>
      </w:r>
      <w:r w:rsidRPr="0048261F">
        <w:rPr>
          <w:b/>
          <w:bCs/>
          <w:lang w:bidi="ar-SY"/>
        </w:rPr>
        <w:t>Phospholipids</w:t>
      </w:r>
      <w:r w:rsidRPr="0048261F">
        <w:rPr>
          <w:rFonts w:hint="cs"/>
          <w:b/>
          <w:bCs/>
          <w:rtl/>
          <w:lang w:bidi="ar-SY"/>
        </w:rPr>
        <w:t>):</w:t>
      </w:r>
      <w:r w:rsidRPr="001A5C1E">
        <w:rPr>
          <w:rFonts w:hint="cs"/>
          <w:rtl/>
          <w:lang w:bidi="ar-SY"/>
        </w:rPr>
        <w:t xml:space="preserve"> وهي شحميات تحوي جذراً فوسفورياً هو الكولين أو السيرين أو الإيتانول أمين أو الإينوزيتول.</w:t>
      </w:r>
    </w:p>
    <w:p w14:paraId="0ED2676F" w14:textId="6CBF0583" w:rsidR="00087306" w:rsidRDefault="00087306" w:rsidP="00087306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32"/>
          <w:szCs w:val="32"/>
          <w:lang w:bidi="ar-SY"/>
        </w:rPr>
      </w:pPr>
      <w:r w:rsidRPr="0048261F">
        <w:rPr>
          <w:rFonts w:hint="cs"/>
          <w:b/>
          <w:bCs/>
          <w:rtl/>
          <w:lang w:bidi="ar-SY"/>
        </w:rPr>
        <w:t xml:space="preserve">ثلاثي أسيل الغليسرول </w:t>
      </w:r>
      <w:r w:rsidRPr="0048261F">
        <w:rPr>
          <w:b/>
          <w:bCs/>
          <w:lang w:bidi="ar-SY"/>
        </w:rPr>
        <w:t>TAG) Triacylglycerol</w:t>
      </w:r>
      <w:r w:rsidRPr="0048261F">
        <w:rPr>
          <w:rFonts w:hint="cs"/>
          <w:b/>
          <w:bCs/>
          <w:rtl/>
          <w:lang w:bidi="ar-SY"/>
        </w:rPr>
        <w:t>):</w:t>
      </w:r>
      <w:r w:rsidRPr="001A5C1E">
        <w:rPr>
          <w:rFonts w:hint="cs"/>
          <w:rtl/>
          <w:lang w:bidi="ar-SY"/>
        </w:rPr>
        <w:t xml:space="preserve"> تتكون من جزيئة غليسرول مؤسترة مع 3 جزيئات حموض دسمة وبسبب عدم انحلالها في الماء فهي تنضم إلى كمية ضئيلة من البروتينات لكي تصبح حلولة ويسهل نقلها في البلازما والناتج هو البروتينات الشحمية (</w:t>
      </w:r>
      <w:r w:rsidRPr="001A5C1E">
        <w:rPr>
          <w:lang w:bidi="ar-SY"/>
        </w:rPr>
        <w:t>Lipoproteins</w:t>
      </w:r>
      <w:r w:rsidRPr="001A5C1E">
        <w:rPr>
          <w:rFonts w:hint="cs"/>
          <w:rtl/>
          <w:lang w:bidi="ar-SY"/>
        </w:rPr>
        <w:t>)</w:t>
      </w:r>
      <w:r>
        <w:rPr>
          <w:rFonts w:hint="cs"/>
          <w:rtl/>
          <w:lang w:bidi="ar-SY"/>
        </w:rPr>
        <w:t xml:space="preserve"> .</w:t>
      </w:r>
    </w:p>
    <w:p w14:paraId="2E24C60A" w14:textId="77777777" w:rsidR="00087306" w:rsidRPr="00087306" w:rsidRDefault="00087306" w:rsidP="00087306">
      <w:pPr>
        <w:pStyle w:val="Heading2"/>
        <w:rPr>
          <w:rFonts w:ascii="Sakkal Majalla" w:hAnsi="Sakkal Majalla" w:cs="Sakkal Majalla"/>
          <w:rtl/>
        </w:rPr>
      </w:pPr>
      <w:r w:rsidRPr="00087306">
        <w:rPr>
          <w:rFonts w:ascii="Sakkal Majalla" w:hAnsi="Sakkal Majalla" w:cs="Sakkal Majalla" w:hint="cs"/>
          <w:rtl/>
        </w:rPr>
        <w:t xml:space="preserve">طرائق معايرة الشحوم الثلاثية </w:t>
      </w:r>
      <w:r w:rsidRPr="00087306">
        <w:rPr>
          <w:rFonts w:ascii="Sakkal Majalla" w:hAnsi="Sakkal Majalla" w:cs="Sakkal Majalla"/>
        </w:rPr>
        <w:t>Triacylglycerol</w:t>
      </w:r>
      <w:r w:rsidRPr="00087306">
        <w:rPr>
          <w:rFonts w:ascii="Sakkal Majalla" w:hAnsi="Sakkal Majalla" w:cs="Sakkal Majalla" w:hint="cs"/>
          <w:rtl/>
        </w:rPr>
        <w:t>:</w:t>
      </w:r>
    </w:p>
    <w:p w14:paraId="53CE40A7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>قبل عام 1950 كانت الشحوم الثلاثية تحسب من المعادلة:</w:t>
      </w:r>
    </w:p>
    <w:p w14:paraId="2A932A66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الشحوم الثلاثية = الشحوم الكلية </w:t>
      </w:r>
      <w:r w:rsidRPr="001A5C1E">
        <w:rPr>
          <w:rtl/>
          <w:lang w:bidi="ar-SY"/>
        </w:rPr>
        <w:t>–</w:t>
      </w:r>
      <w:r w:rsidRPr="001A5C1E">
        <w:rPr>
          <w:rFonts w:hint="cs"/>
          <w:rtl/>
          <w:lang w:bidi="ar-SY"/>
        </w:rPr>
        <w:t xml:space="preserve"> (الكولسترول + الفوسفوليبيدات) وبقيت هذه الطريقة غير المباشرة مستخدمة حتى عام 1957 حيث تم إيجاد طريقة مباشرة وهي:</w:t>
      </w:r>
    </w:p>
    <w:p w14:paraId="6ACE5BD3" w14:textId="77777777" w:rsidR="00087306" w:rsidRPr="001A5C1E" w:rsidRDefault="00087306" w:rsidP="00087306">
      <w:pPr>
        <w:numPr>
          <w:ilvl w:val="0"/>
          <w:numId w:val="6"/>
        </w:numPr>
        <w:spacing w:after="0" w:line="240" w:lineRule="auto"/>
        <w:jc w:val="both"/>
        <w:rPr>
          <w:b/>
          <w:bCs/>
          <w:rtl/>
          <w:lang w:bidi="ar-SY"/>
        </w:rPr>
      </w:pPr>
      <w:r w:rsidRPr="001A5C1E">
        <w:rPr>
          <w:b/>
          <w:bCs/>
          <w:rtl/>
          <w:lang w:bidi="ar-SY"/>
        </w:rPr>
        <w:t xml:space="preserve">طريقة </w:t>
      </w:r>
      <w:r w:rsidRPr="001A5C1E">
        <w:rPr>
          <w:b/>
          <w:bCs/>
          <w:lang w:bidi="ar-SY"/>
        </w:rPr>
        <w:t xml:space="preserve">Handel and </w:t>
      </w:r>
      <w:proofErr w:type="spellStart"/>
      <w:r w:rsidRPr="001A5C1E">
        <w:rPr>
          <w:b/>
          <w:bCs/>
          <w:lang w:bidi="ar-SY"/>
        </w:rPr>
        <w:t>Zilversmit</w:t>
      </w:r>
      <w:proofErr w:type="spellEnd"/>
      <w:r w:rsidRPr="001A5C1E">
        <w:rPr>
          <w:b/>
          <w:bCs/>
          <w:rtl/>
          <w:lang w:bidi="ar-SY"/>
        </w:rPr>
        <w:t>:</w:t>
      </w:r>
    </w:p>
    <w:p w14:paraId="09A5A684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ومبدأ هذه الطريقة هو استخلاص ثلاثي أسيل الغليسيرول والفوسفوليبيدات بالكلوروفورم ثم التخلص من الفوسفوليبيدات بادمصاصها على عامل مدمص </w:t>
      </w:r>
      <w:r w:rsidRPr="001A5C1E">
        <w:rPr>
          <w:lang w:bidi="ar-SY"/>
        </w:rPr>
        <w:t>zeolite</w:t>
      </w:r>
      <w:r w:rsidRPr="001A5C1E">
        <w:rPr>
          <w:rFonts w:hint="cs"/>
          <w:rtl/>
          <w:lang w:bidi="ar-SY"/>
        </w:rPr>
        <w:t xml:space="preserve"> ثم تصبن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باستخدام ماءات البوتاسيوم المذابة في الغول ويعاير الغليسيرول المتحرر بوساطة </w:t>
      </w:r>
      <w:r w:rsidRPr="001A5C1E">
        <w:rPr>
          <w:lang w:bidi="ar-SY"/>
        </w:rPr>
        <w:t>Periodate</w:t>
      </w:r>
      <w:r w:rsidRPr="001A5C1E">
        <w:rPr>
          <w:rFonts w:hint="cs"/>
          <w:rtl/>
          <w:lang w:bidi="ar-SY"/>
        </w:rPr>
        <w:t xml:space="preserve"> حيث يتحول إلى فورم ألدهيد الذي يعاير بتشكيل معقد ملون مع حمض الكروموتروبي </w:t>
      </w:r>
      <w:r w:rsidRPr="001A5C1E">
        <w:rPr>
          <w:lang w:bidi="ar-SY"/>
        </w:rPr>
        <w:t>Chromotropic</w:t>
      </w:r>
      <w:r w:rsidRPr="001A5C1E">
        <w:rPr>
          <w:rFonts w:hint="cs"/>
          <w:rtl/>
          <w:lang w:bidi="ar-SY"/>
        </w:rPr>
        <w:t xml:space="preserve">. </w:t>
      </w:r>
    </w:p>
    <w:p w14:paraId="32F1C8FB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لاحقاً أصبحت تعاير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بالطرائق الأنزيمية التي تتميز بالسرعة والنوعية العالية والدقة.</w:t>
      </w:r>
    </w:p>
    <w:p w14:paraId="4F2AD838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C1DAF1C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729FB4C4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7345A82B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0B8136A" w14:textId="77777777" w:rsidR="00087306" w:rsidRPr="001A5C1E" w:rsidRDefault="00087306" w:rsidP="00087306">
      <w:pPr>
        <w:numPr>
          <w:ilvl w:val="0"/>
          <w:numId w:val="6"/>
        </w:num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b/>
          <w:bCs/>
          <w:rtl/>
          <w:lang w:bidi="ar-SY"/>
        </w:rPr>
        <w:lastRenderedPageBreak/>
        <w:t>الطريقة الأنزيمية:</w:t>
      </w:r>
      <w:r w:rsidRPr="001A5C1E">
        <w:rPr>
          <w:rFonts w:hint="cs"/>
          <w:rtl/>
          <w:lang w:bidi="ar-SY"/>
        </w:rPr>
        <w:t xml:space="preserve"> </w:t>
      </w:r>
    </w:p>
    <w:p w14:paraId="30CD6EE6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مبدأ هذه الطريقة حلمهة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بواسطة أنزيم الليباز ثم يعاير الغليسيرول بطرائق عدة منها أنزيمية لونية أو أنزيمية حركية. والطريقة الأنزيمية اللونية هي الأكثر استخداماً في المخبر السريري، ومبدأ هذه الطريقة:</w:t>
      </w:r>
    </w:p>
    <w:p w14:paraId="54243988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3811EB53" w14:textId="77777777" w:rsidR="00087306" w:rsidRPr="00087306" w:rsidRDefault="00087306" w:rsidP="00087306">
      <w:pPr>
        <w:bidi w:val="0"/>
        <w:spacing w:after="0" w:line="240" w:lineRule="auto"/>
        <w:rPr>
          <w:rFonts w:eastAsia="Calibri"/>
          <w:sz w:val="28"/>
          <w:szCs w:val="28"/>
          <w:rtl/>
          <w:lang w:bidi="ar-SY"/>
        </w:rPr>
      </w:pPr>
      <w:r w:rsidRPr="00087306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1758" wp14:editId="1EE46BDA">
                <wp:simplePos x="0" y="0"/>
                <wp:positionH relativeFrom="column">
                  <wp:posOffset>914924</wp:posOffset>
                </wp:positionH>
                <wp:positionV relativeFrom="paragraph">
                  <wp:posOffset>142875</wp:posOffset>
                </wp:positionV>
                <wp:extent cx="645714" cy="0"/>
                <wp:effectExtent l="0" t="76200" r="2159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1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9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2.05pt;margin-top:11.25pt;width:5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Pr="00087306">
        <w:rPr>
          <w:rFonts w:eastAsia="Calibri"/>
          <w:sz w:val="28"/>
          <w:szCs w:val="28"/>
          <w:lang w:bidi="ar-SY"/>
        </w:rPr>
        <w:t xml:space="preserve">Triacylglycerol            </w:t>
      </w:r>
      <w:r w:rsidRPr="00087306">
        <w:rPr>
          <w:rFonts w:eastAsia="Calibri"/>
          <w:sz w:val="28"/>
          <w:szCs w:val="28"/>
          <w:vertAlign w:val="superscript"/>
          <w:lang w:bidi="ar-SY"/>
        </w:rPr>
        <w:t>Lipase</w:t>
      </w:r>
      <w:r w:rsidRPr="00087306">
        <w:rPr>
          <w:rFonts w:eastAsia="Calibri"/>
          <w:sz w:val="28"/>
          <w:szCs w:val="28"/>
          <w:lang w:bidi="ar-SY"/>
        </w:rPr>
        <w:t xml:space="preserve">              glycerol + FFAs</w:t>
      </w:r>
    </w:p>
    <w:p w14:paraId="227DA88B" w14:textId="77777777" w:rsidR="00087306" w:rsidRPr="00087306" w:rsidRDefault="00087306" w:rsidP="00087306">
      <w:pPr>
        <w:bidi w:val="0"/>
        <w:spacing w:after="0" w:line="240" w:lineRule="auto"/>
        <w:rPr>
          <w:rFonts w:eastAsia="Calibri"/>
          <w:sz w:val="28"/>
          <w:szCs w:val="28"/>
          <w:lang w:bidi="ar-SY"/>
        </w:rPr>
      </w:pPr>
      <w:r w:rsidRPr="00087306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A5EB7" wp14:editId="74E0681F">
                <wp:simplePos x="0" y="0"/>
                <wp:positionH relativeFrom="column">
                  <wp:posOffset>845185</wp:posOffset>
                </wp:positionH>
                <wp:positionV relativeFrom="paragraph">
                  <wp:posOffset>136636</wp:posOffset>
                </wp:positionV>
                <wp:extent cx="823393" cy="0"/>
                <wp:effectExtent l="0" t="76200" r="1524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39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E711F" id="Straight Arrow Connector 10" o:spid="_x0000_s1026" type="#_x0000_t32" style="position:absolute;margin-left:66.55pt;margin-top:10.75pt;width:64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Pr="00087306">
        <w:rPr>
          <w:rFonts w:eastAsia="Calibri"/>
          <w:sz w:val="28"/>
          <w:szCs w:val="28"/>
          <w:lang w:bidi="ar-SY"/>
        </w:rPr>
        <w:t xml:space="preserve">Glycerol + ATP    </w:t>
      </w:r>
      <w:r w:rsidRPr="00087306">
        <w:rPr>
          <w:rFonts w:eastAsia="Calibri"/>
          <w:sz w:val="28"/>
          <w:szCs w:val="28"/>
          <w:vertAlign w:val="superscript"/>
          <w:lang w:bidi="ar-SY"/>
        </w:rPr>
        <w:t xml:space="preserve">    glycerol kinase</w:t>
      </w:r>
      <w:r w:rsidRPr="00087306">
        <w:rPr>
          <w:rFonts w:eastAsia="Calibri"/>
          <w:sz w:val="28"/>
          <w:szCs w:val="28"/>
          <w:lang w:bidi="ar-SY"/>
        </w:rPr>
        <w:t xml:space="preserve">           Glycerol-3-phosphate + ADP</w:t>
      </w:r>
    </w:p>
    <w:p w14:paraId="49B7AAB9" w14:textId="77777777" w:rsidR="00087306" w:rsidRPr="00087306" w:rsidRDefault="00087306" w:rsidP="00087306">
      <w:pPr>
        <w:bidi w:val="0"/>
        <w:spacing w:after="0" w:line="240" w:lineRule="auto"/>
        <w:rPr>
          <w:rFonts w:eastAsia="Calibri"/>
          <w:sz w:val="28"/>
          <w:szCs w:val="28"/>
          <w:lang w:bidi="ar-SY"/>
        </w:rPr>
      </w:pPr>
      <w:r w:rsidRPr="00087306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75EB4" wp14:editId="15C8F988">
                <wp:simplePos x="0" y="0"/>
                <wp:positionH relativeFrom="column">
                  <wp:posOffset>1508748</wp:posOffset>
                </wp:positionH>
                <wp:positionV relativeFrom="paragraph">
                  <wp:posOffset>136413</wp:posOffset>
                </wp:positionV>
                <wp:extent cx="1105081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08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ABF3" id="Straight Arrow Connector 20" o:spid="_x0000_s1026" type="#_x0000_t32" style="position:absolute;margin-left:118.8pt;margin-top:10.75pt;width:8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087306">
        <w:rPr>
          <w:rFonts w:eastAsia="Calibri"/>
          <w:sz w:val="28"/>
          <w:szCs w:val="28"/>
          <w:lang w:bidi="ar-SY"/>
        </w:rPr>
        <w:t>Glycerol-3-phosphate + O</w:t>
      </w:r>
      <w:r w:rsidRPr="00087306">
        <w:rPr>
          <w:rFonts w:eastAsia="Calibri"/>
          <w:sz w:val="28"/>
          <w:szCs w:val="28"/>
          <w:vertAlign w:val="subscript"/>
          <w:lang w:bidi="ar-SY"/>
        </w:rPr>
        <w:t>2</w:t>
      </w:r>
      <w:r w:rsidRPr="00087306">
        <w:rPr>
          <w:rFonts w:eastAsia="Calibri"/>
          <w:sz w:val="28"/>
          <w:szCs w:val="28"/>
          <w:lang w:bidi="ar-SY"/>
        </w:rPr>
        <w:t xml:space="preserve">    </w:t>
      </w:r>
      <w:r w:rsidRPr="00087306">
        <w:rPr>
          <w:rFonts w:eastAsia="Calibri"/>
          <w:sz w:val="28"/>
          <w:szCs w:val="28"/>
          <w:vertAlign w:val="superscript"/>
          <w:lang w:bidi="ar-SY"/>
        </w:rPr>
        <w:t xml:space="preserve">glycerophosphate oxidase </w:t>
      </w:r>
      <w:r w:rsidRPr="00087306">
        <w:rPr>
          <w:rFonts w:eastAsia="Calibri"/>
          <w:sz w:val="28"/>
          <w:szCs w:val="28"/>
          <w:lang w:bidi="ar-SY"/>
        </w:rPr>
        <w:t xml:space="preserve">       dihydroxyacetone phosphate + H</w:t>
      </w:r>
      <w:r w:rsidRPr="00087306">
        <w:rPr>
          <w:rFonts w:eastAsia="Calibri"/>
          <w:sz w:val="28"/>
          <w:szCs w:val="28"/>
          <w:vertAlign w:val="subscript"/>
          <w:lang w:bidi="ar-SY"/>
        </w:rPr>
        <w:t>2</w:t>
      </w:r>
      <w:r w:rsidRPr="00087306">
        <w:rPr>
          <w:rFonts w:eastAsia="Calibri"/>
          <w:sz w:val="28"/>
          <w:szCs w:val="28"/>
          <w:lang w:bidi="ar-SY"/>
        </w:rPr>
        <w:t>O</w:t>
      </w:r>
      <w:r w:rsidRPr="00087306">
        <w:rPr>
          <w:rFonts w:eastAsia="Calibri"/>
          <w:sz w:val="28"/>
          <w:szCs w:val="28"/>
          <w:vertAlign w:val="subscript"/>
          <w:lang w:bidi="ar-SY"/>
        </w:rPr>
        <w:t>2</w:t>
      </w:r>
    </w:p>
    <w:p w14:paraId="261D46F6" w14:textId="77777777" w:rsidR="00087306" w:rsidRPr="00087306" w:rsidRDefault="00087306" w:rsidP="00087306">
      <w:pPr>
        <w:bidi w:val="0"/>
        <w:spacing w:after="0" w:line="240" w:lineRule="auto"/>
        <w:rPr>
          <w:rFonts w:eastAsia="Calibri"/>
          <w:sz w:val="28"/>
          <w:szCs w:val="28"/>
          <w:rtl/>
          <w:lang w:bidi="ar-SY"/>
        </w:rPr>
      </w:pPr>
      <w:r w:rsidRPr="00087306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99D96" wp14:editId="23BF72C3">
                <wp:simplePos x="0" y="0"/>
                <wp:positionH relativeFrom="column">
                  <wp:posOffset>2532208</wp:posOffset>
                </wp:positionH>
                <wp:positionV relativeFrom="paragraph">
                  <wp:posOffset>135463</wp:posOffset>
                </wp:positionV>
                <wp:extent cx="645714" cy="0"/>
                <wp:effectExtent l="0" t="76200" r="2159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1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43C0" id="Straight Arrow Connector 21" o:spid="_x0000_s1026" type="#_x0000_t32" style="position:absolute;margin-left:199.4pt;margin-top:10.65pt;width:50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087306">
        <w:rPr>
          <w:rFonts w:eastAsia="Calibri"/>
          <w:sz w:val="28"/>
          <w:szCs w:val="28"/>
          <w:lang w:bidi="ar-SY"/>
        </w:rPr>
        <w:t>2H</w:t>
      </w:r>
      <w:r w:rsidRPr="00087306">
        <w:rPr>
          <w:rFonts w:eastAsia="Calibri"/>
          <w:sz w:val="28"/>
          <w:szCs w:val="28"/>
          <w:vertAlign w:val="subscript"/>
          <w:lang w:bidi="ar-SY"/>
        </w:rPr>
        <w:t>2</w:t>
      </w:r>
      <w:r w:rsidRPr="00087306">
        <w:rPr>
          <w:rFonts w:eastAsia="Calibri"/>
          <w:sz w:val="28"/>
          <w:szCs w:val="28"/>
          <w:lang w:bidi="ar-SY"/>
        </w:rPr>
        <w:t>O</w:t>
      </w:r>
      <w:r w:rsidRPr="00087306">
        <w:rPr>
          <w:rFonts w:eastAsia="Calibri"/>
          <w:sz w:val="28"/>
          <w:szCs w:val="28"/>
          <w:vertAlign w:val="subscript"/>
          <w:lang w:bidi="ar-SY"/>
        </w:rPr>
        <w:t xml:space="preserve">2 </w:t>
      </w:r>
      <w:r w:rsidRPr="00087306">
        <w:rPr>
          <w:rFonts w:eastAsia="Calibri"/>
          <w:sz w:val="28"/>
          <w:szCs w:val="28"/>
          <w:lang w:bidi="ar-SY"/>
        </w:rPr>
        <w:t xml:space="preserve">+ 4-aminoantipyrine + 4-chlorophenol   </w:t>
      </w:r>
      <w:r w:rsidRPr="00087306">
        <w:rPr>
          <w:rFonts w:eastAsia="Calibri"/>
          <w:sz w:val="28"/>
          <w:szCs w:val="28"/>
          <w:vertAlign w:val="superscript"/>
          <w:lang w:bidi="ar-SY"/>
        </w:rPr>
        <w:t xml:space="preserve">    Peroxidase</w:t>
      </w:r>
      <w:r w:rsidRPr="00087306">
        <w:rPr>
          <w:rFonts w:eastAsia="Calibri"/>
          <w:sz w:val="28"/>
          <w:szCs w:val="28"/>
          <w:lang w:bidi="ar-SY"/>
        </w:rPr>
        <w:t xml:space="preserve">        Quinonimine dye + 4H</w:t>
      </w:r>
      <w:r w:rsidRPr="00087306">
        <w:rPr>
          <w:rFonts w:eastAsia="Calibri"/>
          <w:sz w:val="28"/>
          <w:szCs w:val="28"/>
          <w:vertAlign w:val="subscript"/>
          <w:lang w:bidi="ar-SY"/>
        </w:rPr>
        <w:t>2</w:t>
      </w:r>
      <w:r w:rsidRPr="00087306">
        <w:rPr>
          <w:rFonts w:eastAsia="Calibri"/>
          <w:sz w:val="28"/>
          <w:szCs w:val="28"/>
          <w:lang w:bidi="ar-SY"/>
        </w:rPr>
        <w:t>O</w:t>
      </w:r>
    </w:p>
    <w:p w14:paraId="0C5DAEE4" w14:textId="77777777" w:rsidR="00087306" w:rsidRPr="00087306" w:rsidRDefault="00087306" w:rsidP="00087306">
      <w:pPr>
        <w:spacing w:before="120" w:after="12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القيم السوية للـ </w:t>
      </w:r>
      <w:r w:rsidRPr="0008730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TAG</w:t>
      </w: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010B2877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 50 </w:t>
      </w:r>
      <w:r w:rsidRPr="001A5C1E">
        <w:rPr>
          <w:rtl/>
          <w:lang w:bidi="ar-SY"/>
        </w:rPr>
        <w:t>–</w:t>
      </w:r>
      <w:r w:rsidRPr="001A5C1E">
        <w:rPr>
          <w:rFonts w:hint="cs"/>
          <w:rtl/>
          <w:lang w:bidi="ar-SY"/>
        </w:rPr>
        <w:t xml:space="preserve"> 150 ملغ / دل لدى إنسان صائم، والقيم الأقل من المجال السوي ليست ذات دلالة سريرية كبيرة على عكس الارتفاع. </w:t>
      </w:r>
    </w:p>
    <w:p w14:paraId="241C0339" w14:textId="77777777" w:rsidR="00087306" w:rsidRPr="00087306" w:rsidRDefault="00087306" w:rsidP="00087306">
      <w:pPr>
        <w:spacing w:before="120" w:after="12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التغيرات المرضية وتفسير النتائج:</w:t>
      </w:r>
    </w:p>
    <w:p w14:paraId="61B458B4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يرتفع مستوى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المصلي في أنماط فرط البروتينات الشحمية بسبب عوز أنزيم </w:t>
      </w:r>
      <w:r w:rsidRPr="001A5C1E">
        <w:rPr>
          <w:lang w:bidi="ar-SY"/>
        </w:rPr>
        <w:t>lipoprotein lipase</w:t>
      </w:r>
      <w:r w:rsidRPr="001A5C1E">
        <w:rPr>
          <w:rFonts w:hint="cs"/>
          <w:rtl/>
          <w:lang w:bidi="ar-SY"/>
        </w:rPr>
        <w:t>، وتوجد أسباب ثانوية لارتفاع الشحوم الثلاثية نذكر منها: البدانة، التهاب الكبد الفيروسي، الكحولية، تشمع الكبد الكحولي، التشمع الصفراوي، المتلازمة الكيلائي</w:t>
      </w:r>
      <w:r w:rsidRPr="001A5C1E">
        <w:rPr>
          <w:rFonts w:hint="eastAsia"/>
          <w:rtl/>
          <w:lang w:bidi="ar-SY"/>
        </w:rPr>
        <w:t>ة</w:t>
      </w:r>
      <w:r w:rsidRPr="001A5C1E">
        <w:rPr>
          <w:rFonts w:hint="cs"/>
          <w:rtl/>
          <w:lang w:bidi="ar-SY"/>
        </w:rPr>
        <w:t xml:space="preserve"> </w:t>
      </w:r>
      <w:r w:rsidRPr="001A5C1E">
        <w:rPr>
          <w:lang w:bidi="ar-SY"/>
        </w:rPr>
        <w:t>nephrotic syndrome</w:t>
      </w:r>
      <w:r w:rsidRPr="001A5C1E">
        <w:rPr>
          <w:rFonts w:hint="cs"/>
          <w:rtl/>
          <w:lang w:bidi="ar-SY"/>
        </w:rPr>
        <w:t>، القصور الكلوي المزمن، متلازمة داون، الداء السكري.</w:t>
      </w:r>
    </w:p>
    <w:p w14:paraId="5EBBE32B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ويقال فرط شديد في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عندما يبلغ تركيزها أكثر من 500 ملغ/دل، وعندما يرتفع هذا التركيز إلى أكثر من 1000 ملغ/دل فيعتبر ذلك خطراً شديداً لحصول التهاب البنكرياس.</w:t>
      </w:r>
    </w:p>
    <w:p w14:paraId="6906CED2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 xml:space="preserve">تؤدي بعض الأدوية إلى ارتفاع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وهي: حاصرات </w:t>
      </w:r>
      <w:r w:rsidRPr="001A5C1E">
        <w:rPr>
          <w:rFonts w:ascii="Cambria" w:hAnsi="Cambria" w:cs="Cambria" w:hint="cs"/>
          <w:rtl/>
          <w:lang w:bidi="ar-SY"/>
        </w:rPr>
        <w:t>β</w:t>
      </w:r>
      <w:r w:rsidRPr="001A5C1E">
        <w:rPr>
          <w:rFonts w:hint="cs"/>
          <w:rtl/>
          <w:lang w:bidi="ar-SY"/>
        </w:rPr>
        <w:t>، الكاتيكولامينات، الستيروئيدات القشرية، الديازيبام، المدرات، الأستروجينات ومانعات الحمل الفموية.</w:t>
      </w:r>
    </w:p>
    <w:p w14:paraId="4CE6FC86" w14:textId="77777777" w:rsidR="00087306" w:rsidRPr="00D2103B" w:rsidRDefault="00087306" w:rsidP="00087306">
      <w:pPr>
        <w:spacing w:before="120" w:after="120" w:line="240" w:lineRule="auto"/>
        <w:jc w:val="both"/>
        <w:rPr>
          <w:b/>
          <w:bCs/>
          <w:sz w:val="32"/>
          <w:szCs w:val="32"/>
          <w:rtl/>
        </w:rPr>
      </w:pP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شروط تحليل الـ </w:t>
      </w:r>
      <w:r w:rsidRPr="0008730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TAG</w:t>
      </w: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والشحوم العامة:</w:t>
      </w:r>
    </w:p>
    <w:p w14:paraId="547280E3" w14:textId="77777777" w:rsidR="00087306" w:rsidRPr="001A5C1E" w:rsidRDefault="00087306" w:rsidP="00087306">
      <w:pPr>
        <w:numPr>
          <w:ilvl w:val="0"/>
          <w:numId w:val="7"/>
        </w:numPr>
        <w:spacing w:after="0" w:line="240" w:lineRule="auto"/>
        <w:jc w:val="both"/>
        <w:rPr>
          <w:lang w:bidi="ar-SY"/>
        </w:rPr>
      </w:pPr>
      <w:r w:rsidRPr="001A5C1E">
        <w:rPr>
          <w:rFonts w:hint="cs"/>
          <w:rtl/>
          <w:lang w:bidi="ar-SY"/>
        </w:rPr>
        <w:t xml:space="preserve">الامتناع عن تناول الطعام لمدة </w:t>
      </w:r>
      <w:r w:rsidRPr="001A5C1E">
        <w:rPr>
          <w:rFonts w:hint="cs"/>
          <w:u w:val="single"/>
          <w:rtl/>
          <w:lang w:bidi="ar-SY"/>
        </w:rPr>
        <w:t>12 ساعة</w:t>
      </w:r>
      <w:r w:rsidRPr="001A5C1E">
        <w:rPr>
          <w:rFonts w:hint="cs"/>
          <w:rtl/>
          <w:lang w:bidi="ar-SY"/>
        </w:rPr>
        <w:t xml:space="preserve"> على الأقل قبل إجراء الاختبار</w:t>
      </w:r>
    </w:p>
    <w:p w14:paraId="47C766FF" w14:textId="77777777" w:rsidR="00087306" w:rsidRPr="001A5C1E" w:rsidRDefault="00087306" w:rsidP="00087306">
      <w:pPr>
        <w:numPr>
          <w:ilvl w:val="0"/>
          <w:numId w:val="7"/>
        </w:numPr>
        <w:spacing w:after="0" w:line="240" w:lineRule="auto"/>
        <w:jc w:val="both"/>
        <w:rPr>
          <w:lang w:bidi="ar-SY"/>
        </w:rPr>
      </w:pPr>
      <w:r w:rsidRPr="001A5C1E">
        <w:rPr>
          <w:rFonts w:hint="cs"/>
          <w:rtl/>
          <w:lang w:bidi="ar-SY"/>
        </w:rPr>
        <w:t>الامتناع عن تناول الأدوية التي تؤثر على استقلاب الشحوم وذلك لمدة 5 أيام على الأقل قبل إجراء الاختبار</w:t>
      </w:r>
    </w:p>
    <w:p w14:paraId="47C71901" w14:textId="77777777" w:rsidR="00087306" w:rsidRDefault="00087306" w:rsidP="00087306">
      <w:pPr>
        <w:numPr>
          <w:ilvl w:val="0"/>
          <w:numId w:val="7"/>
        </w:numPr>
        <w:spacing w:after="0" w:line="240" w:lineRule="auto"/>
        <w:jc w:val="both"/>
        <w:rPr>
          <w:lang w:bidi="ar-SY"/>
        </w:rPr>
      </w:pPr>
      <w:r w:rsidRPr="001A5C1E">
        <w:rPr>
          <w:rFonts w:hint="cs"/>
          <w:rtl/>
          <w:lang w:bidi="ar-SY"/>
        </w:rPr>
        <w:t>أن يكون الشخص في حالة نفسية هادئة عند إجراء الاختبار.</w:t>
      </w:r>
    </w:p>
    <w:p w14:paraId="75F828E4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254BE3FF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3BED93DD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6F9E0988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71DD3AFC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419EF0F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552094DD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2171FB00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22910D2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BD67435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7A522F22" w14:textId="77777777" w:rsidR="00087306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6A05A6BE" w14:textId="77777777" w:rsidR="00087306" w:rsidRPr="001A5C1E" w:rsidRDefault="00087306" w:rsidP="00087306">
      <w:pPr>
        <w:spacing w:after="0" w:line="240" w:lineRule="auto"/>
        <w:jc w:val="both"/>
        <w:rPr>
          <w:lang w:bidi="ar-SY"/>
        </w:rPr>
      </w:pPr>
    </w:p>
    <w:p w14:paraId="3C17296F" w14:textId="77777777" w:rsidR="00087306" w:rsidRPr="00087306" w:rsidRDefault="00087306" w:rsidP="00087306">
      <w:pPr>
        <w:spacing w:before="120" w:after="12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08730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 xml:space="preserve">القسم العملي: </w:t>
      </w: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تحديد تركيز </w:t>
      </w:r>
      <w:r w:rsidRPr="0008730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TAG</w:t>
      </w:r>
      <w:r w:rsidRPr="0008730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لعينة مرضية</w:t>
      </w:r>
      <w:r w:rsidRPr="0008730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5F9D5AA5" w14:textId="77777777" w:rsidR="00087306" w:rsidRPr="001A5C1E" w:rsidRDefault="00087306" w:rsidP="00087306">
      <w:pPr>
        <w:spacing w:after="0" w:line="240" w:lineRule="auto"/>
        <w:jc w:val="both"/>
        <w:rPr>
          <w:b/>
          <w:bCs/>
          <w:rtl/>
          <w:lang w:bidi="ar-SY"/>
        </w:rPr>
      </w:pPr>
      <w:r w:rsidRPr="001A5C1E">
        <w:rPr>
          <w:b/>
          <w:bCs/>
          <w:rtl/>
          <w:lang w:bidi="ar-SY"/>
        </w:rPr>
        <w:t>طريقة العمل:</w:t>
      </w:r>
    </w:p>
    <w:p w14:paraId="32AB452F" w14:textId="77777777" w:rsidR="00087306" w:rsidRPr="001A5C1E" w:rsidRDefault="00087306" w:rsidP="00087306">
      <w:pPr>
        <w:spacing w:after="120" w:line="240" w:lineRule="auto"/>
        <w:jc w:val="both"/>
        <w:rPr>
          <w:rtl/>
          <w:lang w:bidi="ar-SY"/>
        </w:rPr>
      </w:pPr>
      <w:r w:rsidRPr="001A5C1E">
        <w:rPr>
          <w:rFonts w:hint="cs"/>
          <w:rtl/>
          <w:lang w:bidi="ar-SY"/>
        </w:rPr>
        <w:t>قم بتحضير 3 أنابيب اختبار كما يلي: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981"/>
        <w:gridCol w:w="1724"/>
        <w:gridCol w:w="3332"/>
      </w:tblGrid>
      <w:tr w:rsidR="00087306" w:rsidRPr="001A5C1E" w14:paraId="6E2EC1CC" w14:textId="77777777" w:rsidTr="00D60BF0">
        <w:trPr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89DC5C" w14:textId="77777777" w:rsidR="00087306" w:rsidRPr="001A5C1E" w:rsidRDefault="00087306" w:rsidP="00D60BF0">
            <w:pPr>
              <w:spacing w:after="0" w:line="240" w:lineRule="auto"/>
              <w:jc w:val="center"/>
              <w:rPr>
                <w:lang w:bidi="ar-SY"/>
              </w:rPr>
            </w:pPr>
            <w:r w:rsidRPr="001A5C1E">
              <w:rPr>
                <w:lang w:bidi="ar-SY"/>
              </w:rPr>
              <w:t>Sample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D7AFC8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Standard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7F56F5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Blank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F37E3E7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</w:p>
        </w:tc>
      </w:tr>
      <w:tr w:rsidR="00087306" w:rsidRPr="001A5C1E" w14:paraId="36F306E4" w14:textId="77777777" w:rsidTr="00D60BF0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2CDA7BF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rtl/>
                <w:lang w:bidi="ar-SY"/>
              </w:rPr>
              <w:t>ـــ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90EF1" w14:textId="77777777" w:rsidR="00087306" w:rsidRPr="001A5C1E" w:rsidRDefault="00087306" w:rsidP="00D60BF0">
            <w:pPr>
              <w:spacing w:after="0" w:line="240" w:lineRule="auto"/>
              <w:jc w:val="center"/>
              <w:rPr>
                <w:lang w:bidi="ar-SY"/>
              </w:rPr>
            </w:pPr>
            <w:r w:rsidRPr="001A5C1E">
              <w:rPr>
                <w:lang w:bidi="ar-SY"/>
              </w:rPr>
              <w:t xml:space="preserve">10 </w:t>
            </w:r>
            <w:proofErr w:type="spellStart"/>
            <w:r w:rsidRPr="001A5C1E">
              <w:rPr>
                <w:rFonts w:ascii="Cambria" w:hAnsi="Cambria" w:cs="Cambria"/>
                <w:lang w:bidi="ar-SY"/>
              </w:rPr>
              <w:t>μ</w:t>
            </w:r>
            <w:r w:rsidRPr="001A5C1E">
              <w:rPr>
                <w:lang w:bidi="ar-SY"/>
              </w:rPr>
              <w:t>L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14:paraId="4EAF3B78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rtl/>
                <w:lang w:bidi="ar-SY"/>
              </w:rPr>
              <w:t>ـــ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389579E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TAG Standard (200 mg/dl)</w:t>
            </w:r>
          </w:p>
        </w:tc>
      </w:tr>
      <w:tr w:rsidR="00087306" w:rsidRPr="001A5C1E" w14:paraId="5242EE7F" w14:textId="77777777" w:rsidTr="00D60BF0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45C1F0A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 xml:space="preserve">10 </w:t>
            </w:r>
            <w:proofErr w:type="spellStart"/>
            <w:r w:rsidRPr="001A5C1E">
              <w:rPr>
                <w:rFonts w:ascii="Cambria" w:hAnsi="Cambria" w:cs="Cambria"/>
                <w:lang w:bidi="ar-SY"/>
              </w:rPr>
              <w:t>μ</w:t>
            </w:r>
            <w:r w:rsidRPr="001A5C1E">
              <w:rPr>
                <w:lang w:bidi="ar-SY"/>
              </w:rPr>
              <w:t>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D1F7DAC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rtl/>
                <w:lang w:bidi="ar-SY"/>
              </w:rPr>
              <w:t>ـــ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C2534C8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rtl/>
                <w:lang w:bidi="ar-SY"/>
              </w:rPr>
              <w:t>ـــ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A66BBE3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Sample</w:t>
            </w:r>
          </w:p>
        </w:tc>
      </w:tr>
      <w:tr w:rsidR="00087306" w:rsidRPr="001A5C1E" w14:paraId="1FC1984A" w14:textId="77777777" w:rsidTr="00D60BF0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CC461DD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1.0 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B526C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1.0 mL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2C5CBE2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1.0 mL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492B5DFD" w14:textId="77777777" w:rsidR="00087306" w:rsidRPr="001A5C1E" w:rsidRDefault="00087306" w:rsidP="00D60BF0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1A5C1E">
              <w:rPr>
                <w:lang w:bidi="ar-SY"/>
              </w:rPr>
              <w:t>Reagent (A)</w:t>
            </w:r>
          </w:p>
        </w:tc>
      </w:tr>
    </w:tbl>
    <w:p w14:paraId="60FC1F81" w14:textId="77777777" w:rsidR="00087306" w:rsidRPr="001A5C1E" w:rsidRDefault="00087306" w:rsidP="00087306">
      <w:pPr>
        <w:numPr>
          <w:ilvl w:val="0"/>
          <w:numId w:val="8"/>
        </w:numPr>
        <w:spacing w:before="120" w:after="0" w:line="240" w:lineRule="auto"/>
        <w:ind w:left="369"/>
        <w:jc w:val="both"/>
        <w:rPr>
          <w:lang w:bidi="ar-SY"/>
        </w:rPr>
      </w:pPr>
      <w:r w:rsidRPr="001A5C1E">
        <w:rPr>
          <w:rFonts w:hint="cs"/>
          <w:rtl/>
          <w:lang w:bidi="ar-SY"/>
        </w:rPr>
        <w:t>تمزج الأنابيب ثم تحضن لمدة 15 دقيقة بدرجة حرارة الغرفة أو لمدة 5 دقائق بالدرجة 37 م.</w:t>
      </w:r>
    </w:p>
    <w:p w14:paraId="435182C9" w14:textId="77777777" w:rsidR="00087306" w:rsidRPr="001A5C1E" w:rsidRDefault="00087306" w:rsidP="00087306">
      <w:pPr>
        <w:numPr>
          <w:ilvl w:val="0"/>
          <w:numId w:val="8"/>
        </w:numPr>
        <w:spacing w:after="0" w:line="240" w:lineRule="auto"/>
        <w:ind w:left="369"/>
        <w:jc w:val="both"/>
        <w:rPr>
          <w:lang w:bidi="ar-SY"/>
        </w:rPr>
      </w:pPr>
      <w:r w:rsidRPr="001A5C1E">
        <w:rPr>
          <w:rFonts w:hint="cs"/>
          <w:rtl/>
          <w:lang w:bidi="ar-SY"/>
        </w:rPr>
        <w:t xml:space="preserve">ثم تقاس امتصاصية كل من العياري والعينة عند طول الموجة </w:t>
      </w:r>
      <w:r w:rsidRPr="001A5C1E">
        <w:rPr>
          <w:lang w:bidi="ar-SY"/>
        </w:rPr>
        <w:t>500 nm</w:t>
      </w:r>
      <w:r w:rsidRPr="001A5C1E">
        <w:rPr>
          <w:rFonts w:hint="cs"/>
          <w:rtl/>
          <w:lang w:bidi="ar-SY"/>
        </w:rPr>
        <w:t xml:space="preserve"> ويحسب تركيز </w:t>
      </w:r>
      <w:r w:rsidRPr="001A5C1E">
        <w:rPr>
          <w:lang w:bidi="ar-SY"/>
        </w:rPr>
        <w:t>TAG</w:t>
      </w:r>
      <w:r w:rsidRPr="001A5C1E">
        <w:rPr>
          <w:rFonts w:hint="cs"/>
          <w:rtl/>
          <w:lang w:bidi="ar-SY"/>
        </w:rPr>
        <w:t xml:space="preserve"> في المصل كما يلي:</w:t>
      </w:r>
    </w:p>
    <w:p w14:paraId="29133A94" w14:textId="77777777" w:rsidR="00087306" w:rsidRPr="001A5C1E" w:rsidRDefault="00E160EC" w:rsidP="00087306">
      <w:pPr>
        <w:spacing w:after="0" w:line="240" w:lineRule="auto"/>
        <w:jc w:val="both"/>
        <w:rPr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w:rPr>
                  <w:rFonts w:ascii="Cambria Math" w:hAnsi="Cambria Math"/>
                  <w:lang w:bidi="ar-SY"/>
                </w:rPr>
                <m:t>sample</m:t>
              </m:r>
            </m:sub>
          </m:sSub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sample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standard</m:t>
                  </m:r>
                </m:sub>
              </m:sSub>
            </m:den>
          </m:f>
          <m:r>
            <w:rPr>
              <w:rFonts w:ascii="Cambria Math" w:hAnsi="Cambria Math"/>
              <w:lang w:bidi="ar-SY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w:rPr>
                  <w:rFonts w:ascii="Cambria Math" w:hAnsi="Cambria Math"/>
                  <w:lang w:bidi="ar-SY"/>
                </w:rPr>
                <m:t>standard</m:t>
              </m:r>
            </m:sub>
          </m:sSub>
        </m:oMath>
      </m:oMathPara>
    </w:p>
    <w:p w14:paraId="61BB0645" w14:textId="77777777" w:rsidR="00087306" w:rsidRPr="001A5C1E" w:rsidRDefault="00087306" w:rsidP="00087306">
      <w:pPr>
        <w:spacing w:after="0" w:line="240" w:lineRule="auto"/>
        <w:jc w:val="both"/>
        <w:rPr>
          <w:lang w:bidi="ar-SY"/>
        </w:rPr>
      </w:pPr>
    </w:p>
    <w:p w14:paraId="5EEC8258" w14:textId="77777777" w:rsidR="00087306" w:rsidRPr="001A5C1E" w:rsidRDefault="00087306" w:rsidP="00087306">
      <w:pPr>
        <w:spacing w:after="0" w:line="240" w:lineRule="auto"/>
        <w:jc w:val="both"/>
        <w:rPr>
          <w:rtl/>
          <w:lang w:bidi="ar-SY"/>
        </w:rPr>
      </w:pPr>
    </w:p>
    <w:p w14:paraId="074F1483" w14:textId="77777777" w:rsidR="00087306" w:rsidRPr="00087306" w:rsidRDefault="00087306" w:rsidP="00D05624">
      <w:pPr>
        <w:rPr>
          <w:lang w:bidi="ar-SY"/>
        </w:rPr>
      </w:pPr>
    </w:p>
    <w:sectPr w:rsidR="00087306" w:rsidRPr="00087306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B793" w14:textId="77777777" w:rsidR="00A057F2" w:rsidRDefault="00A057F2" w:rsidP="00D05624">
      <w:r>
        <w:separator/>
      </w:r>
    </w:p>
  </w:endnote>
  <w:endnote w:type="continuationSeparator" w:id="0">
    <w:p w14:paraId="6FBA71A3" w14:textId="77777777" w:rsidR="00A057F2" w:rsidRDefault="00A057F2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A185" w14:textId="77777777" w:rsidR="00A057F2" w:rsidRDefault="00A057F2" w:rsidP="00D05624">
      <w:r>
        <w:separator/>
      </w:r>
    </w:p>
  </w:footnote>
  <w:footnote w:type="continuationSeparator" w:id="0">
    <w:p w14:paraId="7184B5B1" w14:textId="77777777" w:rsidR="00A057F2" w:rsidRDefault="00A057F2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E160EC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77C8F"/>
    <w:multiLevelType w:val="hybridMultilevel"/>
    <w:tmpl w:val="33D2877A"/>
    <w:lvl w:ilvl="0" w:tplc="33FCB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7B08"/>
    <w:multiLevelType w:val="hybridMultilevel"/>
    <w:tmpl w:val="C04CB28E"/>
    <w:lvl w:ilvl="0" w:tplc="6D8E65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283E"/>
    <w:multiLevelType w:val="hybridMultilevel"/>
    <w:tmpl w:val="6B505184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5" w15:restartNumberingAfterBreak="0">
    <w:nsid w:val="718D08CA"/>
    <w:multiLevelType w:val="hybridMultilevel"/>
    <w:tmpl w:val="E10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FD2"/>
    <w:multiLevelType w:val="hybridMultilevel"/>
    <w:tmpl w:val="9DA6572E"/>
    <w:lvl w:ilvl="0" w:tplc="04962B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6"/>
  </w:num>
  <w:num w:numId="3" w16cid:durableId="217057474">
    <w:abstractNumId w:val="4"/>
  </w:num>
  <w:num w:numId="4" w16cid:durableId="890849363">
    <w:abstractNumId w:val="5"/>
  </w:num>
  <w:num w:numId="5" w16cid:durableId="1534460438">
    <w:abstractNumId w:val="2"/>
  </w:num>
  <w:num w:numId="6" w16cid:durableId="272245367">
    <w:abstractNumId w:val="7"/>
  </w:num>
  <w:num w:numId="7" w16cid:durableId="156003446">
    <w:abstractNumId w:val="1"/>
  </w:num>
  <w:num w:numId="8" w16cid:durableId="85014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87306"/>
    <w:rsid w:val="000B6526"/>
    <w:rsid w:val="00137DC0"/>
    <w:rsid w:val="001579D9"/>
    <w:rsid w:val="00167CE4"/>
    <w:rsid w:val="0017222F"/>
    <w:rsid w:val="00187BB0"/>
    <w:rsid w:val="001F783B"/>
    <w:rsid w:val="002D09B6"/>
    <w:rsid w:val="00300C7F"/>
    <w:rsid w:val="003E1627"/>
    <w:rsid w:val="00446A4B"/>
    <w:rsid w:val="0049227E"/>
    <w:rsid w:val="004D06C8"/>
    <w:rsid w:val="005B4EF4"/>
    <w:rsid w:val="005F696B"/>
    <w:rsid w:val="00664A51"/>
    <w:rsid w:val="006A697C"/>
    <w:rsid w:val="006D5F2D"/>
    <w:rsid w:val="006E55D8"/>
    <w:rsid w:val="00701B29"/>
    <w:rsid w:val="00727C27"/>
    <w:rsid w:val="0083168D"/>
    <w:rsid w:val="00847301"/>
    <w:rsid w:val="00855B13"/>
    <w:rsid w:val="00913659"/>
    <w:rsid w:val="00913814"/>
    <w:rsid w:val="009C0A33"/>
    <w:rsid w:val="00A057F2"/>
    <w:rsid w:val="00A6175F"/>
    <w:rsid w:val="00A66825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160EC"/>
    <w:rsid w:val="00E926F6"/>
    <w:rsid w:val="00EE29E3"/>
    <w:rsid w:val="00F17418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10</cp:revision>
  <cp:lastPrinted>2023-05-02T06:37:00Z</cp:lastPrinted>
  <dcterms:created xsi:type="dcterms:W3CDTF">2023-05-03T09:14:00Z</dcterms:created>
  <dcterms:modified xsi:type="dcterms:W3CDTF">2023-05-17T07:33:00Z</dcterms:modified>
</cp:coreProperties>
</file>