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76FC8B" w:rsidR="00446A4B" w:rsidRPr="00446A4B" w:rsidRDefault="00446A4B" w:rsidP="004D06C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4D06C8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246DA6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D06C8">
        <w:rPr>
          <w:rFonts w:ascii="Sakkal Majalla" w:hAnsi="Sakkal Majalla" w:cs="Sakkal Majalla" w:hint="cs"/>
          <w:rtl/>
        </w:rPr>
        <w:t>الكيمياء الحيوية2</w:t>
      </w:r>
    </w:p>
    <w:p w14:paraId="7B8DC8B7" w14:textId="61CDD262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E75F08">
        <w:rPr>
          <w:rFonts w:ascii="Sakkal Majalla" w:hAnsi="Sakkal Majalla" w:cs="Sakkal Majalla"/>
        </w:rPr>
        <w:t>7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0851AEDB" w:rsidR="009C0A33" w:rsidRPr="00CA681E" w:rsidRDefault="00E75F08" w:rsidP="00E05CB7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غاماغلوتاميل ترانس ببتيداز </w:t>
      </w:r>
      <w:r>
        <w:rPr>
          <w:rFonts w:ascii="Sakkal Majalla" w:hAnsi="Sakkal Majalla" w:cs="Sakkal Majalla"/>
        </w:rPr>
        <w:t>GGT</w:t>
      </w:r>
    </w:p>
    <w:p w14:paraId="6742C3B2" w14:textId="77777777" w:rsidR="00446A4B" w:rsidRPr="00CA681E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6CBE79E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4B4588">
        <w:rPr>
          <w:rFonts w:hint="cs"/>
          <w:b/>
          <w:bCs/>
          <w:rtl/>
          <w:lang w:bidi="ar-SY"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العام الدراسي</w:t>
      </w:r>
      <w:r w:rsidR="004B4588">
        <w:rPr>
          <w:b/>
          <w:bCs/>
        </w:rPr>
        <w:t>2022-2023</w:t>
      </w:r>
    </w:p>
    <w:p w14:paraId="691A41D2" w14:textId="77777777" w:rsidR="004B4588" w:rsidRDefault="004B4588" w:rsidP="00BB2074">
      <w:pPr>
        <w:pStyle w:val="Title"/>
        <w:rPr>
          <w:rFonts w:ascii="Sakkal Majalla" w:hAnsi="Sakkal Majalla" w:cs="Sakkal Majalla"/>
        </w:rPr>
      </w:pPr>
    </w:p>
    <w:p w14:paraId="61BA6A3D" w14:textId="6C5DE4AA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1F01AD35" w:rsidR="00855B13" w:rsidRPr="00446A4B" w:rsidRDefault="00FD638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الغاية من الجلسة </w:t>
            </w:r>
          </w:p>
        </w:tc>
        <w:tc>
          <w:tcPr>
            <w:tcW w:w="1553" w:type="dxa"/>
          </w:tcPr>
          <w:p w14:paraId="781F1A5E" w14:textId="42B60E79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2B57F7DE" w:rsidR="00855B13" w:rsidRPr="00446A4B" w:rsidRDefault="00163CA7" w:rsidP="00D05624">
            <w:pPr>
              <w:pStyle w:val="Title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النظري</w:t>
            </w:r>
          </w:p>
        </w:tc>
        <w:tc>
          <w:tcPr>
            <w:tcW w:w="1553" w:type="dxa"/>
          </w:tcPr>
          <w:p w14:paraId="2F9FBC90" w14:textId="30622E6A" w:rsidR="00855B13" w:rsidRPr="00871436" w:rsidRDefault="00871436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871436">
              <w:rPr>
                <w:rFonts w:ascii="Sakkal Majalla" w:hAnsi="Sakkal Majalla" w:cs="Sakkal Majalla"/>
                <w:sz w:val="52"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B4EB838" w:rsidR="00855B13" w:rsidRPr="00446A4B" w:rsidRDefault="00E4761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52E59292" w14:textId="1561865A" w:rsidR="00855B13" w:rsidRPr="00446A4B" w:rsidRDefault="00163CA7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0053EB70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</w:p>
    <w:p w14:paraId="603A8FF0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</w:p>
    <w:p w14:paraId="7B3E8FFC" w14:textId="77777777" w:rsidR="00AF26E4" w:rsidRDefault="00AF26E4" w:rsidP="00AF26E4">
      <w:pPr>
        <w:rPr>
          <w:rtl/>
          <w:lang w:bidi="ar-SY"/>
        </w:rPr>
      </w:pPr>
    </w:p>
    <w:p w14:paraId="28A87850" w14:textId="77777777" w:rsidR="005079D4" w:rsidRDefault="005079D4" w:rsidP="00AF26E4">
      <w:pPr>
        <w:rPr>
          <w:rtl/>
          <w:lang w:bidi="ar-SY"/>
        </w:rPr>
      </w:pPr>
    </w:p>
    <w:p w14:paraId="70192B25" w14:textId="77777777" w:rsidR="005079D4" w:rsidRDefault="005079D4" w:rsidP="00AF26E4">
      <w:pPr>
        <w:rPr>
          <w:rtl/>
          <w:lang w:bidi="ar-SY"/>
        </w:rPr>
      </w:pPr>
    </w:p>
    <w:p w14:paraId="5B7696C2" w14:textId="77777777" w:rsidR="005079D4" w:rsidRDefault="005079D4" w:rsidP="00AF26E4">
      <w:pPr>
        <w:rPr>
          <w:rtl/>
          <w:lang w:bidi="ar-SY"/>
        </w:rPr>
      </w:pPr>
    </w:p>
    <w:p w14:paraId="7B887C53" w14:textId="77777777" w:rsidR="005079D4" w:rsidRDefault="005079D4" w:rsidP="00AF26E4">
      <w:pPr>
        <w:rPr>
          <w:rtl/>
          <w:lang w:bidi="ar-SY"/>
        </w:rPr>
      </w:pPr>
    </w:p>
    <w:p w14:paraId="7E435119" w14:textId="77777777" w:rsidR="005079D4" w:rsidRDefault="005079D4" w:rsidP="00AF26E4">
      <w:pPr>
        <w:rPr>
          <w:rtl/>
          <w:lang w:bidi="ar-SY"/>
        </w:rPr>
      </w:pPr>
    </w:p>
    <w:p w14:paraId="164D234C" w14:textId="77777777" w:rsidR="00E4761C" w:rsidRDefault="00E4761C" w:rsidP="00AF26E4">
      <w:pPr>
        <w:rPr>
          <w:rtl/>
          <w:lang w:bidi="ar-SY"/>
        </w:rPr>
      </w:pPr>
    </w:p>
    <w:p w14:paraId="57B27A1A" w14:textId="77777777" w:rsidR="00E4761C" w:rsidRDefault="00E4761C" w:rsidP="00AF26E4">
      <w:pPr>
        <w:rPr>
          <w:rtl/>
          <w:lang w:bidi="ar-SY"/>
        </w:rPr>
      </w:pPr>
    </w:p>
    <w:p w14:paraId="1467106A" w14:textId="77777777" w:rsidR="00E4761C" w:rsidRDefault="00E4761C" w:rsidP="00AF26E4">
      <w:pPr>
        <w:rPr>
          <w:rtl/>
          <w:lang w:bidi="ar-SY"/>
        </w:rPr>
      </w:pPr>
    </w:p>
    <w:p w14:paraId="1D47CC5A" w14:textId="77777777" w:rsidR="00163CA7" w:rsidRDefault="00163CA7" w:rsidP="00AF26E4">
      <w:pPr>
        <w:rPr>
          <w:rtl/>
          <w:lang w:bidi="ar-SY"/>
        </w:rPr>
      </w:pPr>
    </w:p>
    <w:p w14:paraId="3959844E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</w:p>
    <w:p w14:paraId="40564D33" w14:textId="77777777" w:rsidR="00163CA7" w:rsidRPr="00163CA7" w:rsidRDefault="00163CA7" w:rsidP="00163CA7">
      <w:pPr>
        <w:rPr>
          <w:rtl/>
          <w:lang w:bidi="ar-SY"/>
        </w:rPr>
      </w:pPr>
    </w:p>
    <w:p w14:paraId="2B5A7F6E" w14:textId="41B0DEA0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EA4E052" w:rsidR="00847301" w:rsidRPr="00446A4B" w:rsidRDefault="004D06C8" w:rsidP="00AF26E4">
      <w:pPr>
        <w:rPr>
          <w:rtl/>
          <w:lang w:bidi="ar-SY"/>
        </w:rPr>
      </w:pPr>
      <w:r>
        <w:rPr>
          <w:rFonts w:hint="cs"/>
          <w:rtl/>
        </w:rPr>
        <w:t xml:space="preserve">التعريف </w:t>
      </w:r>
      <w:r w:rsidR="00C24153">
        <w:rPr>
          <w:rFonts w:hint="cs"/>
          <w:rtl/>
          <w:lang w:bidi="ar-SY"/>
        </w:rPr>
        <w:t>بأنزيم غاما غلوتاميل ترانس ببتيداز</w:t>
      </w:r>
      <w:r w:rsidR="00CA681E">
        <w:rPr>
          <w:rFonts w:hint="cs"/>
          <w:rtl/>
          <w:lang w:bidi="ar-SY"/>
        </w:rPr>
        <w:t xml:space="preserve">، </w:t>
      </w:r>
      <w:r w:rsidR="00BA5B72">
        <w:rPr>
          <w:rFonts w:hint="cs"/>
          <w:rtl/>
          <w:lang w:bidi="ar-SY"/>
        </w:rPr>
        <w:t>دوره في تشخيص ومراقبة أمراض الكبد والطرق الصفراوية</w:t>
      </w:r>
      <w:r w:rsidR="00AF26E4">
        <w:rPr>
          <w:rFonts w:hint="cs"/>
          <w:rtl/>
          <w:lang w:bidi="ar-SY"/>
        </w:rPr>
        <w:t xml:space="preserve">، القيم المرجعية وطرائق المعايرة.  </w:t>
      </w:r>
    </w:p>
    <w:p w14:paraId="160FEC2F" w14:textId="384AC970" w:rsidR="00AF26E4" w:rsidRPr="00CA681E" w:rsidRDefault="00E05CB7" w:rsidP="00CA681E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>
        <w:rPr>
          <w:rFonts w:ascii="Sakkal Majalla" w:hAnsi="Sakkal Majalla" w:cs="Sakkal Majalla" w:hint="cs"/>
          <w:rtl/>
        </w:rPr>
        <w:t xml:space="preserve">القسم النظري </w:t>
      </w:r>
      <w:bookmarkEnd w:id="1"/>
      <w:r>
        <w:rPr>
          <w:rFonts w:ascii="Sakkal Majalla" w:hAnsi="Sakkal Majalla" w:cs="Sakkal Majalla" w:hint="cs"/>
          <w:rtl/>
        </w:rPr>
        <w:t>:</w:t>
      </w:r>
      <w:r w:rsidR="00CA681E">
        <w:rPr>
          <w:rFonts w:hint="cs"/>
          <w:rtl/>
        </w:rPr>
        <w:t xml:space="preserve"> </w:t>
      </w:r>
    </w:p>
    <w:p w14:paraId="089076D5" w14:textId="3B150CD7" w:rsidR="00BA5B72" w:rsidRPr="00BA5B72" w:rsidRDefault="004B4588" w:rsidP="00BA5B72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rtl/>
          <w:lang w:bidi="ar-SY"/>
        </w:rPr>
      </w:pPr>
      <w:r>
        <w:rPr>
          <w:rFonts w:eastAsiaTheme="minorEastAsia"/>
          <w:b/>
          <w:bCs/>
          <w:lang w:bidi="ar-SY"/>
        </w:rPr>
        <w:t xml:space="preserve">   </w:t>
      </w:r>
      <w:r w:rsidR="00BA5B72" w:rsidRPr="00BA5B72">
        <w:rPr>
          <w:rFonts w:eastAsiaTheme="minorEastAsia"/>
          <w:b/>
          <w:bCs/>
          <w:rtl/>
          <w:lang w:bidi="ar-SY"/>
        </w:rPr>
        <w:t>غاما غلوتاميل ترانس ببتيدا</w:t>
      </w:r>
      <w:r w:rsidR="00BA5B72">
        <w:rPr>
          <w:rFonts w:eastAsiaTheme="minorEastAsia" w:hint="cs"/>
          <w:b/>
          <w:bCs/>
          <w:rtl/>
          <w:lang w:bidi="ar-SY"/>
        </w:rPr>
        <w:t xml:space="preserve">ز </w:t>
      </w:r>
      <w:r w:rsidR="00BA5B72" w:rsidRPr="00BA5B72">
        <w:rPr>
          <w:rFonts w:eastAsiaTheme="minorEastAsia"/>
          <w:rtl/>
          <w:lang w:bidi="ar-SY"/>
        </w:rPr>
        <w:t xml:space="preserve">أنزيم يتواجد بشكل رئيسي في الكبد والصفراء والكلية وأنسجة أخرى، لكنه </w:t>
      </w:r>
      <w:r w:rsidR="00BA5B72" w:rsidRPr="00BA5B72">
        <w:rPr>
          <w:rFonts w:eastAsiaTheme="minorEastAsia"/>
          <w:rtl/>
        </w:rPr>
        <w:t>يستخدم بشكل أساسي لتشخيص ومراقبة أمراض الكبد والطرق الصفراوية</w:t>
      </w:r>
      <w:r w:rsidR="00BA5B72" w:rsidRPr="00BA5B72">
        <w:rPr>
          <w:rFonts w:eastAsiaTheme="minorEastAsia"/>
          <w:rtl/>
          <w:lang w:bidi="ar-SY"/>
        </w:rPr>
        <w:t>. يعمل هذا الأنزيم على نقل ثمالة الغاما غلوتاميل</w:t>
      </w:r>
      <w:r w:rsidR="00BA5B72" w:rsidRPr="00BA5B72">
        <w:rPr>
          <w:rFonts w:eastAsiaTheme="minorEastAsia"/>
          <w:lang w:bidi="ar-SY"/>
        </w:rPr>
        <w:t xml:space="preserve"> </w:t>
      </w:r>
      <w:r w:rsidR="00BA5B72" w:rsidRPr="00BA5B72">
        <w:rPr>
          <w:rFonts w:ascii="Times New Roman" w:eastAsiaTheme="minorEastAsia" w:hAnsi="Times New Roman" w:cs="Times New Roman"/>
          <w:lang w:bidi="ar-SY"/>
        </w:rPr>
        <w:t>ɤ</w:t>
      </w:r>
      <w:r w:rsidR="00BA5B72" w:rsidRPr="00BA5B72">
        <w:rPr>
          <w:rFonts w:eastAsiaTheme="minorEastAsia"/>
          <w:lang w:bidi="ar-SY"/>
        </w:rPr>
        <w:t xml:space="preserve"> -glutamyl </w:t>
      </w:r>
      <w:r w:rsidR="00BA5B72" w:rsidRPr="00BA5B72">
        <w:rPr>
          <w:rFonts w:eastAsiaTheme="minorEastAsia"/>
          <w:rtl/>
          <w:lang w:bidi="ar-SY"/>
        </w:rPr>
        <w:t>من</w:t>
      </w:r>
      <w:r w:rsidR="00BA5B72" w:rsidRPr="00BA5B72">
        <w:rPr>
          <w:rFonts w:eastAsiaTheme="minorEastAsia"/>
          <w:lang w:bidi="ar-SY"/>
        </w:rPr>
        <w:t xml:space="preserve"> </w:t>
      </w:r>
      <w:r w:rsidR="00BA5B72" w:rsidRPr="00BA5B72">
        <w:rPr>
          <w:rFonts w:eastAsiaTheme="minorEastAsia"/>
          <w:rtl/>
          <w:lang w:bidi="ar-SY"/>
        </w:rPr>
        <w:t>الببتيدات الحاوية على الغاما غلوتاميل (الغلوتاتيون) إلى الحموض الأمينية والببتيدات الصغيرة الأخرى</w:t>
      </w:r>
      <w:r w:rsidR="00BA5B72" w:rsidRPr="00BA5B72">
        <w:rPr>
          <w:rFonts w:eastAsiaTheme="minorEastAsia"/>
          <w:lang w:bidi="ar-SY"/>
        </w:rPr>
        <w:t>.</w:t>
      </w:r>
      <w:r w:rsidR="00BA5B72" w:rsidRPr="00BA5B72">
        <w:rPr>
          <w:rFonts w:eastAsiaTheme="minorEastAsia"/>
          <w:rtl/>
          <w:lang w:bidi="ar-SY"/>
        </w:rPr>
        <w:t xml:space="preserve"> بالتالي فهو يساهم في اصطناع البروتينات ونقل للحموض الأمينية عبر الأغشية الخلوية.</w:t>
      </w:r>
    </w:p>
    <w:p w14:paraId="74395B2B" w14:textId="77777777" w:rsidR="00BA5B72" w:rsidRPr="00BA5B72" w:rsidRDefault="00BA5B72" w:rsidP="00BA5B72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  <m:oMathPara>
        <m:oMath>
          <m:r>
            <w:rPr>
              <w:rFonts w:ascii="Cambria Math" w:eastAsiaTheme="minorEastAsia" w:hAnsi="Cambria Math"/>
              <w:lang w:bidi="ar-SY"/>
            </w:rPr>
            <m:t xml:space="preserve">Glutathione+ amino acid </m:t>
          </m:r>
          <m:groupChr>
            <m:groupChrPr>
              <m:chr m:val="→"/>
              <m:vertJc m:val="bot"/>
              <m:ctrlPr>
                <w:rPr>
                  <w:rFonts w:ascii="Cambria Math" w:eastAsiaTheme="minorEastAsia" w:hAnsi="Cambria Math"/>
                  <w:i/>
                  <w:lang w:bidi="ar-SY"/>
                </w:rPr>
              </m:ctrlPr>
            </m:groupChrPr>
            <m:e>
              <m:r>
                <w:rPr>
                  <w:rFonts w:ascii="Cambria Math" w:eastAsiaTheme="minorEastAsia" w:hAnsi="Cambria Math"/>
                  <w:lang w:bidi="ar-S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bidi="ar-SY"/>
                </w:rPr>
                <m:t xml:space="preserve"> ɣ -GT</m:t>
              </m:r>
              <m:r>
                <w:rPr>
                  <w:rFonts w:ascii="Cambria Math" w:eastAsiaTheme="minorEastAsia" w:hAnsi="Cambria Math"/>
                  <w:lang w:bidi="ar-SY"/>
                </w:rPr>
                <m:t xml:space="preserve">   </m:t>
              </m:r>
            </m:e>
          </m:groupChr>
          <m:r>
            <w:rPr>
              <w:rFonts w:ascii="Cambria Math" w:eastAsiaTheme="minorEastAsia" w:hAnsi="Cambria Math"/>
              <w:lang w:bidi="ar-SY"/>
            </w:rPr>
            <m:t>glutamyl- peptide+ L-cysteinylglycine</m:t>
          </m:r>
        </m:oMath>
      </m:oMathPara>
    </w:p>
    <w:p w14:paraId="5A639B10" w14:textId="104612D7" w:rsidR="00CA681E" w:rsidRPr="002C5634" w:rsidRDefault="00CA681E" w:rsidP="00CA681E">
      <w:pPr>
        <w:tabs>
          <w:tab w:val="right" w:pos="720"/>
        </w:tabs>
        <w:spacing w:after="120" w:line="276" w:lineRule="auto"/>
        <w:ind w:left="-138" w:right="-284"/>
        <w:rPr>
          <w:rtl/>
          <w:lang w:bidi="ar-SY"/>
        </w:rPr>
      </w:pPr>
    </w:p>
    <w:p w14:paraId="467E99D1" w14:textId="77777777" w:rsidR="00BA5B72" w:rsidRPr="00BA5B72" w:rsidRDefault="00BA5B72" w:rsidP="00BA5B72">
      <w:pPr>
        <w:spacing w:after="120" w:line="276" w:lineRule="auto"/>
        <w:ind w:left="-279" w:right="-284"/>
        <w:jc w:val="both"/>
        <w:rPr>
          <w:rFonts w:eastAsiaTheme="minorEastAsia"/>
          <w:b/>
          <w:bCs/>
          <w:rtl/>
          <w:lang w:bidi="ar-SY"/>
        </w:rPr>
      </w:pPr>
      <w:r w:rsidRPr="00BA5B72">
        <w:rPr>
          <w:rFonts w:eastAsiaTheme="minorEastAsia"/>
          <w:b/>
          <w:bCs/>
          <w:rtl/>
          <w:lang w:bidi="ar-SY"/>
        </w:rPr>
        <w:t xml:space="preserve">ترتفع الفعالية الأنزيمية للـ </w:t>
      </w:r>
      <w:r w:rsidRPr="00BA5B72">
        <w:rPr>
          <w:rFonts w:ascii="Times New Roman" w:eastAsiaTheme="minorEastAsia" w:hAnsi="Times New Roman" w:cs="Times New Roman"/>
          <w:lang w:bidi="ar-SY"/>
        </w:rPr>
        <w:t>ɤ</w:t>
      </w:r>
      <w:r w:rsidRPr="00BA5B72">
        <w:rPr>
          <w:rFonts w:eastAsiaTheme="minorEastAsia"/>
          <w:b/>
          <w:bCs/>
          <w:lang w:bidi="ar-SY"/>
        </w:rPr>
        <w:t>-GT</w:t>
      </w:r>
      <w:r w:rsidRPr="00BA5B72">
        <w:rPr>
          <w:rFonts w:eastAsiaTheme="minorEastAsia"/>
          <w:b/>
          <w:bCs/>
          <w:rtl/>
          <w:lang w:bidi="ar-SY"/>
        </w:rPr>
        <w:t xml:space="preserve"> في الحالات التالية:</w:t>
      </w:r>
    </w:p>
    <w:p w14:paraId="01DFB06F" w14:textId="77777777" w:rsidR="00BA5B72" w:rsidRPr="00BA5B72" w:rsidRDefault="00BA5B72" w:rsidP="00BA5B72">
      <w:pPr>
        <w:numPr>
          <w:ilvl w:val="0"/>
          <w:numId w:val="18"/>
        </w:numPr>
        <w:spacing w:after="120" w:line="276" w:lineRule="auto"/>
        <w:ind w:left="146" w:right="-284"/>
        <w:contextualSpacing/>
        <w:jc w:val="both"/>
        <w:rPr>
          <w:rFonts w:eastAsiaTheme="minorEastAsia"/>
          <w:lang w:bidi="ar-SY"/>
        </w:rPr>
      </w:pPr>
      <w:r w:rsidRPr="00BA5B72">
        <w:rPr>
          <w:rFonts w:eastAsiaTheme="minorEastAsia"/>
          <w:rtl/>
        </w:rPr>
        <w:t>التهاب الكبد، تشمع الكبد، انسداد الطرق الصفراوية</w:t>
      </w:r>
      <w:r w:rsidRPr="00BA5B72">
        <w:rPr>
          <w:rFonts w:eastAsiaTheme="minorEastAsia"/>
          <w:rtl/>
          <w:lang w:bidi="ar-SY"/>
        </w:rPr>
        <w:t>. ويعتمد عليه في التشخيص التفريقي لارتفاع الفوسفاتاز القلوية، حيث يدل على المنشأ الكبدي الصفراوي لهذا الارتفاع.</w:t>
      </w:r>
    </w:p>
    <w:p w14:paraId="7D804D11" w14:textId="77777777" w:rsidR="00BA5B72" w:rsidRPr="00BA5B72" w:rsidRDefault="00BA5B72" w:rsidP="00BA5B72">
      <w:pPr>
        <w:numPr>
          <w:ilvl w:val="0"/>
          <w:numId w:val="18"/>
        </w:numPr>
        <w:spacing w:after="120" w:line="276" w:lineRule="auto"/>
        <w:ind w:left="146" w:right="-284"/>
        <w:contextualSpacing/>
        <w:jc w:val="both"/>
        <w:rPr>
          <w:rFonts w:eastAsiaTheme="minorEastAsia"/>
          <w:lang w:bidi="ar-SY"/>
        </w:rPr>
      </w:pPr>
      <w:r w:rsidRPr="00BA5B72">
        <w:rPr>
          <w:rFonts w:eastAsiaTheme="minorEastAsia"/>
          <w:rtl/>
          <w:lang w:bidi="ar-SY"/>
        </w:rPr>
        <w:t>يرتفع قليلاً في التهاب البنكرياس الحاد</w:t>
      </w:r>
    </w:p>
    <w:p w14:paraId="3E196E9A" w14:textId="77777777" w:rsidR="00BA5B72" w:rsidRPr="00BA5B72" w:rsidRDefault="00BA5B72" w:rsidP="00BA5B72">
      <w:pPr>
        <w:numPr>
          <w:ilvl w:val="0"/>
          <w:numId w:val="18"/>
        </w:numPr>
        <w:spacing w:after="120" w:line="276" w:lineRule="auto"/>
        <w:ind w:left="146" w:right="-284"/>
        <w:contextualSpacing/>
        <w:jc w:val="both"/>
        <w:rPr>
          <w:rFonts w:eastAsiaTheme="minorEastAsia"/>
          <w:lang w:bidi="ar-SY"/>
        </w:rPr>
      </w:pPr>
      <w:r w:rsidRPr="00BA5B72">
        <w:rPr>
          <w:rFonts w:eastAsiaTheme="minorEastAsia"/>
          <w:rtl/>
          <w:lang w:bidi="ar-SY"/>
        </w:rPr>
        <w:t>يرتفع إلى ثلاث أضعاف القيمة الطبيعية عند الكحوليين</w:t>
      </w:r>
    </w:p>
    <w:p w14:paraId="70B4EA3A" w14:textId="77777777" w:rsidR="00BA5B72" w:rsidRPr="00BA5B72" w:rsidRDefault="00BA5B72" w:rsidP="00BA5B72">
      <w:pPr>
        <w:numPr>
          <w:ilvl w:val="0"/>
          <w:numId w:val="18"/>
        </w:numPr>
        <w:spacing w:after="120" w:line="276" w:lineRule="auto"/>
        <w:ind w:left="146" w:right="-284"/>
        <w:contextualSpacing/>
        <w:jc w:val="both"/>
        <w:rPr>
          <w:rFonts w:eastAsiaTheme="minorEastAsia"/>
          <w:lang w:bidi="ar-SY"/>
        </w:rPr>
      </w:pPr>
      <w:r w:rsidRPr="00BA5B72">
        <w:rPr>
          <w:rFonts w:eastAsiaTheme="minorEastAsia"/>
          <w:rtl/>
          <w:lang w:bidi="ar-SY"/>
        </w:rPr>
        <w:t xml:space="preserve">ترتفع المستويات أيضاً أثناء المعالجة بـ </w:t>
      </w:r>
      <w:r w:rsidRPr="00BA5B72">
        <w:rPr>
          <w:rFonts w:eastAsiaTheme="minorEastAsia"/>
          <w:lang w:bidi="ar-SY"/>
        </w:rPr>
        <w:t>warfarin, phenobarbital, and phenytoin</w:t>
      </w:r>
    </w:p>
    <w:p w14:paraId="5AE16CB7" w14:textId="174DB897" w:rsidR="00CA681E" w:rsidRPr="00BA5B72" w:rsidRDefault="00CA681E" w:rsidP="00CA681E">
      <w:pPr>
        <w:tabs>
          <w:tab w:val="right" w:pos="720"/>
        </w:tabs>
        <w:spacing w:after="120" w:line="276" w:lineRule="auto"/>
        <w:ind w:left="-138" w:right="-284"/>
        <w:rPr>
          <w:rtl/>
          <w:lang w:bidi="ar-SY"/>
        </w:rPr>
      </w:pPr>
    </w:p>
    <w:p w14:paraId="4EAA5788" w14:textId="5B41298E" w:rsidR="00CA681E" w:rsidRDefault="00CA681E" w:rsidP="00AF26E4">
      <w:pPr>
        <w:tabs>
          <w:tab w:val="right" w:pos="720"/>
        </w:tabs>
        <w:spacing w:after="120" w:line="276" w:lineRule="auto"/>
        <w:ind w:left="-138" w:right="-284"/>
        <w:jc w:val="center"/>
        <w:rPr>
          <w:rtl/>
          <w:lang w:bidi="ar-SY"/>
        </w:rPr>
      </w:pPr>
    </w:p>
    <w:p w14:paraId="78F68889" w14:textId="77777777" w:rsidR="002C5634" w:rsidRDefault="002C5634" w:rsidP="00AF26E4">
      <w:pPr>
        <w:tabs>
          <w:tab w:val="right" w:pos="720"/>
        </w:tabs>
        <w:spacing w:after="120" w:line="276" w:lineRule="auto"/>
        <w:ind w:left="-138" w:right="-284"/>
        <w:jc w:val="center"/>
        <w:rPr>
          <w:rtl/>
          <w:lang w:bidi="ar-SY"/>
        </w:rPr>
      </w:pPr>
    </w:p>
    <w:p w14:paraId="633242E9" w14:textId="77777777" w:rsidR="002C5634" w:rsidRDefault="002C5634" w:rsidP="00AF26E4">
      <w:pPr>
        <w:tabs>
          <w:tab w:val="right" w:pos="720"/>
        </w:tabs>
        <w:spacing w:after="120" w:line="276" w:lineRule="auto"/>
        <w:ind w:left="-138" w:right="-284"/>
        <w:jc w:val="center"/>
        <w:rPr>
          <w:rtl/>
          <w:lang w:bidi="ar-SY"/>
        </w:rPr>
      </w:pPr>
    </w:p>
    <w:p w14:paraId="23B72F47" w14:textId="1B83B8B0" w:rsidR="00AF26E4" w:rsidRDefault="00AF26E4" w:rsidP="002C5634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0C03B8CF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6C195A28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7E2304CD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573AD5A0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47454EAB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008C3D42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46F612E9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639CCED5" w14:textId="77777777" w:rsidR="00AF26E4" w:rsidRDefault="00AF26E4" w:rsidP="00163CA7">
      <w:pPr>
        <w:tabs>
          <w:tab w:val="right" w:pos="720"/>
        </w:tabs>
        <w:spacing w:after="120" w:line="276" w:lineRule="auto"/>
        <w:ind w:right="-284"/>
        <w:jc w:val="both"/>
        <w:rPr>
          <w:rtl/>
          <w:lang w:bidi="ar-SY"/>
        </w:rPr>
      </w:pPr>
    </w:p>
    <w:p w14:paraId="50315252" w14:textId="77777777" w:rsidR="00AF26E4" w:rsidRDefault="00AF26E4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23778073" w14:textId="77777777" w:rsidR="00D43B5F" w:rsidRPr="00D43B5F" w:rsidRDefault="00D43B5F" w:rsidP="00D43B5F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</w:pPr>
      <w:r w:rsidRPr="00D43B5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lastRenderedPageBreak/>
        <w:t xml:space="preserve">القسم العملي </w:t>
      </w:r>
    </w:p>
    <w:p w14:paraId="671EEF62" w14:textId="77777777" w:rsidR="00163CA7" w:rsidRDefault="00163CA7" w:rsidP="00163CA7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  <w:r w:rsidRPr="00163CA7">
        <w:rPr>
          <w:rFonts w:eastAsiaTheme="minorEastAsia"/>
          <w:b/>
          <w:bCs/>
          <w:rtl/>
          <w:lang w:bidi="ar-SY"/>
        </w:rPr>
        <w:t xml:space="preserve">المبدأ: </w:t>
      </w:r>
      <w:r w:rsidRPr="00163CA7">
        <w:rPr>
          <w:rFonts w:eastAsiaTheme="minorEastAsia"/>
          <w:rtl/>
          <w:lang w:bidi="ar-SY"/>
        </w:rPr>
        <w:t xml:space="preserve">تفاعل حركي يتم فيه نقل ثمالة </w:t>
      </w:r>
      <w:r w:rsidRPr="00163CA7">
        <w:rPr>
          <w:rFonts w:ascii="Times New Roman" w:eastAsiaTheme="minorEastAsia" w:hAnsi="Times New Roman" w:cs="Times New Roman"/>
          <w:lang w:bidi="ar-SY"/>
        </w:rPr>
        <w:t>ɤ</w:t>
      </w:r>
      <w:r w:rsidRPr="00163CA7">
        <w:rPr>
          <w:rFonts w:eastAsiaTheme="minorEastAsia"/>
          <w:lang w:bidi="ar-SY"/>
        </w:rPr>
        <w:t>-glutamyl</w:t>
      </w:r>
      <w:r w:rsidRPr="00163CA7">
        <w:rPr>
          <w:rFonts w:eastAsiaTheme="minorEastAsia"/>
          <w:rtl/>
          <w:lang w:bidi="ar-SY"/>
        </w:rPr>
        <w:t xml:space="preserve"> من </w:t>
      </w:r>
      <w:r w:rsidRPr="00163CA7">
        <w:rPr>
          <w:rFonts w:ascii="Times New Roman" w:eastAsiaTheme="minorEastAsia" w:hAnsi="Times New Roman" w:cs="Times New Roman"/>
          <w:lang w:bidi="ar-SY"/>
        </w:rPr>
        <w:t>ɤ</w:t>
      </w:r>
      <w:r w:rsidRPr="00163CA7">
        <w:rPr>
          <w:rFonts w:eastAsiaTheme="minorEastAsia"/>
          <w:lang w:bidi="ar-SY"/>
        </w:rPr>
        <w:t>-glutamyl-3-carboxy-4--nitroanilide</w:t>
      </w:r>
      <w:r w:rsidRPr="00163CA7">
        <w:rPr>
          <w:rFonts w:eastAsiaTheme="minorEastAsia"/>
          <w:rtl/>
          <w:lang w:bidi="ar-SY"/>
        </w:rPr>
        <w:t xml:space="preserve"> إلى </w:t>
      </w:r>
      <w:r w:rsidRPr="00163CA7">
        <w:rPr>
          <w:rFonts w:eastAsiaTheme="minorEastAsia"/>
          <w:lang w:bidi="ar-SY"/>
        </w:rPr>
        <w:t>glycylglycine</w:t>
      </w:r>
      <w:r w:rsidRPr="00163CA7">
        <w:rPr>
          <w:rFonts w:eastAsiaTheme="minorEastAsia"/>
          <w:rtl/>
          <w:lang w:bidi="ar-SY"/>
        </w:rPr>
        <w:t xml:space="preserve"> حيث ينتج مركب ملون هو</w:t>
      </w:r>
    </w:p>
    <w:p w14:paraId="430F1BD9" w14:textId="63EBC62F" w:rsidR="00163CA7" w:rsidRPr="00163CA7" w:rsidRDefault="00163CA7" w:rsidP="00163CA7">
      <w:pPr>
        <w:spacing w:after="120" w:line="276" w:lineRule="auto"/>
        <w:ind w:left="-279" w:right="-284"/>
        <w:jc w:val="both"/>
        <w:rPr>
          <w:rFonts w:eastAsiaTheme="minorEastAsia"/>
          <w:b/>
          <w:bCs/>
          <w:rtl/>
          <w:lang w:bidi="ar-SY"/>
        </w:rPr>
      </w:pPr>
      <w:r w:rsidRPr="00163CA7">
        <w:rPr>
          <w:rFonts w:eastAsiaTheme="minorEastAsia"/>
          <w:rtl/>
          <w:lang w:bidi="ar-SY"/>
        </w:rPr>
        <w:t xml:space="preserve"> </w:t>
      </w:r>
      <w:r w:rsidRPr="00163CA7">
        <w:rPr>
          <w:rFonts w:eastAsiaTheme="minorEastAsia"/>
          <w:lang w:bidi="ar-SY"/>
        </w:rPr>
        <w:t>3-carboxy-4-nitroanilide</w:t>
      </w:r>
      <w:r w:rsidRPr="00163CA7">
        <w:rPr>
          <w:rFonts w:eastAsiaTheme="minorEastAsia"/>
          <w:rtl/>
          <w:lang w:bidi="ar-SY"/>
        </w:rPr>
        <w:t xml:space="preserve"> ويكون له امتصاص أعظمي في المجال (</w:t>
      </w:r>
      <w:r w:rsidRPr="00163CA7">
        <w:rPr>
          <w:rFonts w:eastAsiaTheme="minorEastAsia"/>
          <w:lang w:bidi="ar-SY"/>
        </w:rPr>
        <w:t>-420</w:t>
      </w:r>
      <w:r w:rsidRPr="00163CA7">
        <w:rPr>
          <w:rFonts w:eastAsiaTheme="minorEastAsia"/>
          <w:rtl/>
          <w:lang w:bidi="ar-SY"/>
        </w:rPr>
        <w:t>405) نانومتر.</w:t>
      </w:r>
      <w:r w:rsidRPr="00163CA7">
        <w:rPr>
          <w:rFonts w:eastAsiaTheme="minorEastAsia"/>
          <w:b/>
          <w:bCs/>
          <w:rtl/>
          <w:lang w:bidi="ar-SY"/>
        </w:rPr>
        <w:t xml:space="preserve"> </w:t>
      </w:r>
    </w:p>
    <w:p w14:paraId="35AC3145" w14:textId="77777777" w:rsidR="00163CA7" w:rsidRPr="00163CA7" w:rsidRDefault="00163CA7" w:rsidP="00163CA7">
      <w:pPr>
        <w:spacing w:after="120" w:line="276" w:lineRule="auto"/>
        <w:ind w:left="-279" w:right="-284"/>
        <w:jc w:val="both"/>
        <w:rPr>
          <w:rFonts w:eastAsiaTheme="minorEastAsia"/>
          <w:i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bidi="ar-SY"/>
            </w:rPr>
            <m:t xml:space="preserve">ɤ glutamyl -3-carboxy-4-nitroanilide   </m:t>
          </m:r>
          <m:r>
            <w:rPr>
              <w:rFonts w:ascii="Cambria Math" w:eastAsiaTheme="minorEastAsia" w:hAnsi="Cambria Math"/>
              <w:lang w:bidi="ar-SY"/>
            </w:rPr>
            <m:t xml:space="preserve">+    </m:t>
          </m:r>
          <m:r>
            <m:rPr>
              <m:sty m:val="p"/>
            </m:rPr>
            <w:rPr>
              <w:rFonts w:ascii="Cambria Math" w:eastAsiaTheme="minorEastAsia" w:hAnsi="Cambria Math"/>
              <w:lang w:bidi="ar-SY"/>
            </w:rPr>
            <m:t>glycylglycine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lang w:bidi="ar-SY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lang w:bidi="ar-SY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bidi="ar-SY"/>
                    </w:rPr>
                    <m:t xml:space="preserve">   ɤ-GT  </m:t>
                  </m:r>
                  <m:r>
                    <w:rPr>
                      <w:rFonts w:ascii="Cambria Math" w:eastAsiaTheme="minorEastAsia" w:hAnsi="Cambria Math"/>
                      <w:lang w:bidi="ar-SY"/>
                    </w:rPr>
                    <m:t xml:space="preserve"> </m:t>
                  </m:r>
                </m:e>
              </m:groupChr>
              <m:r>
                <w:rPr>
                  <w:rFonts w:ascii="Cambria Math" w:eastAsiaTheme="minorEastAsia" w:hAnsi="Cambria Math"/>
                  <w:lang w:bidi="ar-SY"/>
                </w:rPr>
                <m:t xml:space="preserve">   </m:t>
              </m:r>
            </m:e>
          </m:box>
          <m:r>
            <w:rPr>
              <w:rFonts w:ascii="Cambria Math" w:eastAsiaTheme="minorEastAsia" w:hAnsi="Cambria Math"/>
              <w:lang w:bidi="ar-SY"/>
            </w:rPr>
            <m:t xml:space="preserve">ɤ glutamyl glycylglycine + </m:t>
          </m:r>
          <m:r>
            <m:rPr>
              <m:sty m:val="p"/>
            </m:rPr>
            <w:rPr>
              <w:rFonts w:ascii="Cambria Math" w:eastAsiaTheme="minorEastAsia" w:hAnsi="Cambria Math"/>
              <w:lang w:bidi="ar-SY"/>
            </w:rPr>
            <m:t>3-carboxy-4</m:t>
          </m:r>
          <m:r>
            <w:rPr>
              <w:rFonts w:ascii="Cambria Math" w:eastAsiaTheme="minorEastAsia" w:hAnsi="Cambria Math"/>
              <w:lang w:bidi="ar-SY"/>
            </w:rPr>
            <m:t>-nitroanilide</m:t>
          </m:r>
        </m:oMath>
      </m:oMathPara>
    </w:p>
    <w:p w14:paraId="29EAEAF3" w14:textId="77777777" w:rsidR="00163CA7" w:rsidRPr="00163CA7" w:rsidRDefault="00163CA7" w:rsidP="00163CA7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  <w:r w:rsidRPr="00163CA7">
        <w:rPr>
          <w:rFonts w:eastAsiaTheme="minorEastAsia"/>
          <w:b/>
          <w:bCs/>
          <w:rtl/>
          <w:lang w:bidi="ar-SY"/>
        </w:rPr>
        <w:t>العينة</w:t>
      </w:r>
      <w:r w:rsidRPr="00163CA7">
        <w:rPr>
          <w:rFonts w:eastAsiaTheme="minorEastAsia"/>
          <w:rtl/>
          <w:lang w:bidi="ar-SY"/>
        </w:rPr>
        <w:t>: مصل أو بلازما، وتبقى فعالية الانزيم ثابتة لمدة 5 أيام في البراد.</w:t>
      </w:r>
      <w:r w:rsidRPr="00163CA7">
        <w:rPr>
          <w:rFonts w:eastAsiaTheme="minorEastAsia"/>
          <w:lang w:bidi="ar-SY"/>
        </w:rPr>
        <w:t xml:space="preserve"> </w:t>
      </w:r>
    </w:p>
    <w:p w14:paraId="34443FAC" w14:textId="77777777" w:rsidR="00163CA7" w:rsidRPr="00163CA7" w:rsidRDefault="00163CA7" w:rsidP="00163CA7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</w:pPr>
      <w:r w:rsidRPr="00163CA7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طريقة العمل:</w:t>
      </w:r>
    </w:p>
    <w:p w14:paraId="394B89B1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 xml:space="preserve">نقوم بتحضير كاشف العمل </w:t>
      </w:r>
      <w:r w:rsidRPr="00163CA7">
        <w:rPr>
          <w:rFonts w:eastAsiaTheme="minorEastAsia"/>
          <w:lang w:bidi="ar-SY"/>
        </w:rPr>
        <w:t>working reagent</w:t>
      </w:r>
      <w:r w:rsidRPr="00163CA7">
        <w:rPr>
          <w:rFonts w:eastAsiaTheme="minorEastAsia"/>
          <w:rtl/>
          <w:lang w:bidi="ar-SY"/>
        </w:rPr>
        <w:t xml:space="preserve"> وذلك بمزج </w:t>
      </w:r>
      <w:r w:rsidRPr="00163CA7">
        <w:rPr>
          <w:rFonts w:eastAsiaTheme="minorEastAsia"/>
          <w:lang w:bidi="ar-SY"/>
        </w:rPr>
        <w:t>1 mL</w:t>
      </w:r>
      <w:r w:rsidRPr="00163CA7">
        <w:rPr>
          <w:rFonts w:eastAsiaTheme="minorEastAsia"/>
          <w:rtl/>
          <w:lang w:bidi="ar-SY"/>
        </w:rPr>
        <w:t xml:space="preserve"> من محلول </w:t>
      </w:r>
      <w:r w:rsidRPr="00163CA7">
        <w:rPr>
          <w:rFonts w:eastAsiaTheme="minorEastAsia"/>
          <w:lang w:bidi="ar-SY"/>
        </w:rPr>
        <w:t>R2</w:t>
      </w:r>
      <w:r w:rsidRPr="00163CA7">
        <w:rPr>
          <w:rFonts w:eastAsiaTheme="minorEastAsia"/>
          <w:rtl/>
          <w:lang w:bidi="ar-SY"/>
        </w:rPr>
        <w:t xml:space="preserve"> (يحوي </w:t>
      </w:r>
      <w:r w:rsidRPr="00163CA7">
        <w:rPr>
          <w:rFonts w:eastAsiaTheme="minorEastAsia"/>
          <w:lang w:bidi="ar-SY"/>
        </w:rPr>
        <w:t>glycylglycine</w:t>
      </w:r>
      <w:r w:rsidRPr="00163CA7">
        <w:rPr>
          <w:rFonts w:eastAsiaTheme="minorEastAsia"/>
          <w:rtl/>
          <w:lang w:bidi="ar-SY"/>
        </w:rPr>
        <w:t xml:space="preserve"> و</w:t>
      </w:r>
      <w:r w:rsidRPr="00163CA7">
        <w:rPr>
          <w:rFonts w:eastAsiaTheme="minorEastAsia"/>
          <w:lang w:bidi="ar-SY"/>
        </w:rPr>
        <w:t>NaOH</w:t>
      </w:r>
      <w:r w:rsidRPr="00163CA7">
        <w:rPr>
          <w:rFonts w:eastAsiaTheme="minorEastAsia"/>
          <w:rtl/>
          <w:lang w:bidi="ar-SY"/>
        </w:rPr>
        <w:t xml:space="preserve">) مع </w:t>
      </w:r>
      <w:r w:rsidRPr="00163CA7">
        <w:rPr>
          <w:rFonts w:eastAsiaTheme="minorEastAsia"/>
          <w:lang w:bidi="ar-SY"/>
        </w:rPr>
        <w:t>4 mL</w:t>
      </w:r>
      <w:r w:rsidRPr="00163CA7">
        <w:rPr>
          <w:rFonts w:eastAsiaTheme="minorEastAsia"/>
          <w:rtl/>
          <w:lang w:bidi="ar-SY"/>
        </w:rPr>
        <w:t xml:space="preserve"> من محلول </w:t>
      </w:r>
      <w:r w:rsidRPr="00163CA7">
        <w:rPr>
          <w:rFonts w:eastAsiaTheme="minorEastAsia"/>
          <w:lang w:bidi="ar-SY"/>
        </w:rPr>
        <w:t>R1</w:t>
      </w:r>
      <w:r w:rsidRPr="00163CA7">
        <w:rPr>
          <w:rFonts w:eastAsiaTheme="minorEastAsia"/>
          <w:rtl/>
          <w:lang w:bidi="ar-SY"/>
        </w:rPr>
        <w:t xml:space="preserve"> (يحوي </w:t>
      </w:r>
      <w:r w:rsidRPr="00163CA7">
        <w:rPr>
          <w:rFonts w:ascii="Times New Roman" w:eastAsiaTheme="minorEastAsia" w:hAnsi="Times New Roman" w:cs="Times New Roman"/>
          <w:lang w:bidi="ar-SY"/>
        </w:rPr>
        <w:t>ɤ</w:t>
      </w:r>
      <w:r w:rsidRPr="00163CA7">
        <w:rPr>
          <w:rFonts w:eastAsiaTheme="minorEastAsia"/>
          <w:lang w:bidi="ar-SY"/>
        </w:rPr>
        <w:t xml:space="preserve"> -glutamyl-3-carboxy-4-nitroanilid</w:t>
      </w:r>
      <w:r w:rsidRPr="00163CA7">
        <w:rPr>
          <w:rFonts w:eastAsiaTheme="minorEastAsia"/>
          <w:rtl/>
          <w:lang w:bidi="ar-SY"/>
        </w:rPr>
        <w:t>).</w:t>
      </w:r>
    </w:p>
    <w:p w14:paraId="21EE2DD5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 xml:space="preserve">يتم تصفير الجهاز على الماء المقطر عند طول الموجة 410 </w:t>
      </w:r>
      <w:r w:rsidRPr="00163CA7">
        <w:rPr>
          <w:rFonts w:eastAsiaTheme="minorEastAsia"/>
          <w:lang w:bidi="ar-SY"/>
        </w:rPr>
        <w:t>nm</w:t>
      </w:r>
      <w:r w:rsidRPr="00163CA7">
        <w:rPr>
          <w:rFonts w:eastAsiaTheme="minorEastAsia"/>
          <w:rtl/>
          <w:lang w:bidi="ar-SY"/>
        </w:rPr>
        <w:t xml:space="preserve"> </w:t>
      </w:r>
    </w:p>
    <w:p w14:paraId="496118BF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 xml:space="preserve">نحضر محلول العينة بمزج </w:t>
      </w:r>
      <w:r w:rsidRPr="00163CA7">
        <w:rPr>
          <w:rFonts w:eastAsiaTheme="minorEastAsia"/>
          <w:lang w:bidi="ar-SY"/>
        </w:rPr>
        <w:t>1 mL</w:t>
      </w:r>
      <w:r w:rsidRPr="00163CA7">
        <w:rPr>
          <w:rFonts w:eastAsiaTheme="minorEastAsia"/>
          <w:rtl/>
          <w:lang w:bidi="ar-SY"/>
        </w:rPr>
        <w:t xml:space="preserve"> من كاشف العمل مع </w:t>
      </w:r>
      <w:r w:rsidRPr="00163CA7">
        <w:rPr>
          <w:rFonts w:eastAsiaTheme="minorEastAsia"/>
          <w:lang w:bidi="ar-SY"/>
        </w:rPr>
        <w:t>100 µL</w:t>
      </w:r>
      <w:r w:rsidRPr="00163CA7">
        <w:rPr>
          <w:rFonts w:eastAsiaTheme="minorEastAsia"/>
          <w:rtl/>
          <w:lang w:bidi="ar-SY"/>
        </w:rPr>
        <w:t xml:space="preserve"> من العينة ثم احضن لمدة دقيقة. </w:t>
      </w:r>
    </w:p>
    <w:p w14:paraId="2CFF4575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>نقوم بتشغيل المؤقت الزمني ثم تتم قراءة الامتصاصية خلال 3 دقائق وبفاصل زمني دقيقة واحدة.</w:t>
      </w:r>
    </w:p>
    <w:p w14:paraId="58186CD3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 xml:space="preserve">نحسب فرق الامتصاصية ثم نحسب متوسط فرق الامتصاصية خلال واحدة الزمن </w:t>
      </w:r>
      <w:r w:rsidRPr="00163CA7">
        <w:rPr>
          <w:rFonts w:ascii="Cambria" w:eastAsiaTheme="minorEastAsia" w:hAnsi="Cambria" w:cs="Cambria"/>
          <w:lang w:bidi="ar-SY"/>
        </w:rPr>
        <w:t>Δ</w:t>
      </w:r>
      <w:r w:rsidRPr="00163CA7">
        <w:rPr>
          <w:rFonts w:eastAsiaTheme="minorEastAsia"/>
          <w:lang w:bidi="ar-SY"/>
        </w:rPr>
        <w:t>A/min</w:t>
      </w:r>
      <w:r w:rsidRPr="00163CA7">
        <w:rPr>
          <w:rFonts w:eastAsiaTheme="minorEastAsia"/>
          <w:rtl/>
          <w:lang w:bidi="ar-SY"/>
        </w:rPr>
        <w:t>.</w:t>
      </w:r>
    </w:p>
    <w:p w14:paraId="3C13B3E4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i/>
          <w:lang w:bidi="ar-SY"/>
        </w:rPr>
      </w:pPr>
      <w:r w:rsidRPr="00163CA7">
        <w:rPr>
          <w:rFonts w:eastAsiaTheme="minorEastAsia"/>
          <w:rtl/>
          <w:lang w:bidi="ar-SY"/>
        </w:rPr>
        <w:t xml:space="preserve">يتم حساب تركيز الأنزيم وفق المعادلة التالية، علماً </w:t>
      </w:r>
      <w:r w:rsidRPr="00163CA7">
        <w:rPr>
          <w:rFonts w:eastAsiaTheme="minorEastAsia"/>
          <w:i/>
          <w:rtl/>
          <w:lang w:bidi="ar-SY"/>
        </w:rPr>
        <w:t xml:space="preserve">أن قيمة المعامل </w:t>
      </w:r>
      <w:r w:rsidRPr="00163CA7">
        <w:rPr>
          <w:rFonts w:eastAsiaTheme="minorEastAsia"/>
          <w:i/>
          <w:lang w:bidi="ar-SY"/>
        </w:rPr>
        <w:t>F</w:t>
      </w:r>
      <w:r w:rsidRPr="00163CA7">
        <w:rPr>
          <w:rFonts w:eastAsiaTheme="minorEastAsia"/>
          <w:i/>
          <w:rtl/>
          <w:lang w:bidi="ar-SY"/>
        </w:rPr>
        <w:t>=1391</w:t>
      </w:r>
    </w:p>
    <w:p w14:paraId="5AE9187B" w14:textId="77777777" w:rsidR="00163CA7" w:rsidRPr="00163CA7" w:rsidRDefault="00163CA7" w:rsidP="00163CA7">
      <w:pPr>
        <w:spacing w:after="0" w:line="276" w:lineRule="auto"/>
        <w:ind w:left="288" w:right="-284"/>
        <w:jc w:val="both"/>
        <w:rPr>
          <w:rFonts w:eastAsiaTheme="minorEastAsia"/>
          <w:i/>
          <w:lang w:bidi="ar-SY"/>
        </w:rPr>
      </w:pPr>
      <m:oMathPara>
        <m:oMath>
          <m:r>
            <w:rPr>
              <w:rFonts w:ascii="Cambria Math" w:eastAsiaTheme="minorEastAsia" w:hAnsi="Cambria Math"/>
              <w:lang w:bidi="ar-SY"/>
            </w:rPr>
            <m:t xml:space="preserve">C=∆A/min×F </m:t>
          </m:r>
        </m:oMath>
      </m:oMathPara>
    </w:p>
    <w:p w14:paraId="3B5CFAAE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 xml:space="preserve">نقوم بتصحيح الجواب ليوافق درجة الحرارة </w:t>
      </w:r>
      <w:r w:rsidRPr="00163CA7">
        <w:rPr>
          <w:rFonts w:eastAsiaTheme="minorEastAsia"/>
          <w:lang w:bidi="ar-SY"/>
        </w:rPr>
        <w:t>37 °C</w:t>
      </w:r>
      <w:r w:rsidRPr="00163CA7">
        <w:rPr>
          <w:rFonts w:eastAsiaTheme="minorEastAsia"/>
          <w:rtl/>
          <w:lang w:bidi="ar-SY"/>
        </w:rPr>
        <w:t xml:space="preserve"> وذلك بضرب الجواب بمعامل التصحيح 1.5. </w:t>
      </w:r>
    </w:p>
    <w:p w14:paraId="7909B070" w14:textId="77777777" w:rsidR="00163CA7" w:rsidRPr="00163CA7" w:rsidRDefault="00163CA7" w:rsidP="00163CA7">
      <w:pPr>
        <w:numPr>
          <w:ilvl w:val="0"/>
          <w:numId w:val="19"/>
        </w:numPr>
        <w:spacing w:after="0" w:line="276" w:lineRule="auto"/>
        <w:ind w:left="288" w:right="-284"/>
        <w:jc w:val="both"/>
        <w:rPr>
          <w:rFonts w:eastAsiaTheme="minorEastAsia"/>
          <w:lang w:bidi="ar-SY"/>
        </w:rPr>
      </w:pPr>
      <w:r w:rsidRPr="00163CA7">
        <w:rPr>
          <w:rFonts w:eastAsiaTheme="minorEastAsia"/>
          <w:rtl/>
          <w:lang w:bidi="ar-SY"/>
        </w:rPr>
        <w:t xml:space="preserve">نقارن القيمة مع المجال المرجعي المذكور في الكيت: </w:t>
      </w:r>
    </w:p>
    <w:tbl>
      <w:tblPr>
        <w:tblStyle w:val="TableGrid1"/>
        <w:bidiVisual/>
        <w:tblW w:w="3339" w:type="pct"/>
        <w:jc w:val="center"/>
        <w:tblLook w:val="04A0" w:firstRow="1" w:lastRow="0" w:firstColumn="1" w:lastColumn="0" w:noHBand="0" w:noVBand="1"/>
      </w:tblPr>
      <w:tblGrid>
        <w:gridCol w:w="2448"/>
        <w:gridCol w:w="1960"/>
        <w:gridCol w:w="1613"/>
      </w:tblGrid>
      <w:tr w:rsidR="00163CA7" w:rsidRPr="00163CA7" w14:paraId="5F09E03F" w14:textId="77777777" w:rsidTr="00163CA7">
        <w:trPr>
          <w:trHeight w:val="467"/>
          <w:jc w:val="center"/>
        </w:trPr>
        <w:tc>
          <w:tcPr>
            <w:tcW w:w="2448" w:type="dxa"/>
            <w:shd w:val="clear" w:color="auto" w:fill="D9D9D9" w:themeFill="background1" w:themeFillShade="D9"/>
          </w:tcPr>
          <w:p w14:paraId="03C2A09E" w14:textId="59EE1E4D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rtl/>
                <w:lang w:bidi="ar-SY"/>
              </w:rPr>
            </w:pPr>
            <w:r w:rsidRPr="00163CA7">
              <w:rPr>
                <w:lang w:bidi="ar-SY"/>
              </w:rPr>
              <w:t xml:space="preserve">37 °C                   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C987E7A" w14:textId="3D99400E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rtl/>
                <w:lang w:bidi="ar-SY"/>
              </w:rPr>
            </w:pPr>
            <w:r w:rsidRPr="00163CA7">
              <w:rPr>
                <w:lang w:bidi="ar-SY"/>
              </w:rPr>
              <w:t xml:space="preserve">25 °C                </w:t>
            </w:r>
          </w:p>
        </w:tc>
        <w:tc>
          <w:tcPr>
            <w:tcW w:w="1613" w:type="dxa"/>
          </w:tcPr>
          <w:p w14:paraId="6138E72F" w14:textId="77777777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sz w:val="32"/>
                <w:szCs w:val="32"/>
                <w:rtl/>
                <w:lang w:bidi="ar-SY"/>
              </w:rPr>
            </w:pPr>
          </w:p>
        </w:tc>
      </w:tr>
      <w:tr w:rsidR="00163CA7" w:rsidRPr="00163CA7" w14:paraId="3135992E" w14:textId="77777777" w:rsidTr="00163CA7">
        <w:trPr>
          <w:jc w:val="center"/>
        </w:trPr>
        <w:tc>
          <w:tcPr>
            <w:tcW w:w="2448" w:type="dxa"/>
          </w:tcPr>
          <w:p w14:paraId="18ECB97D" w14:textId="79E45CA7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rtl/>
                <w:lang w:bidi="ar-SY"/>
              </w:rPr>
            </w:pPr>
            <w:r w:rsidRPr="00163CA7">
              <w:rPr>
                <w:lang w:bidi="ar-SY"/>
              </w:rPr>
              <w:t xml:space="preserve">up to 55 U/L           </w:t>
            </w:r>
          </w:p>
        </w:tc>
        <w:tc>
          <w:tcPr>
            <w:tcW w:w="1960" w:type="dxa"/>
          </w:tcPr>
          <w:p w14:paraId="4C94B9C4" w14:textId="7CDC1547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rtl/>
                <w:lang w:bidi="ar-SY"/>
              </w:rPr>
            </w:pPr>
            <w:r w:rsidRPr="00163CA7">
              <w:rPr>
                <w:lang w:bidi="ar-SY"/>
              </w:rPr>
              <w:t xml:space="preserve">up to 22 U/L      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0A76761" w14:textId="20D4F6BA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lang w:bidi="ar-SY"/>
              </w:rPr>
            </w:pPr>
            <w:r w:rsidRPr="00163CA7">
              <w:rPr>
                <w:lang w:bidi="ar-SY"/>
              </w:rPr>
              <w:t xml:space="preserve">Men   </w:t>
            </w:r>
            <w:r>
              <w:rPr>
                <w:lang w:bidi="ar-SY"/>
              </w:rPr>
              <w:t xml:space="preserve">       </w:t>
            </w:r>
            <w:r w:rsidRPr="00163CA7">
              <w:rPr>
                <w:lang w:bidi="ar-SY"/>
              </w:rPr>
              <w:t xml:space="preserve">         </w:t>
            </w:r>
          </w:p>
        </w:tc>
      </w:tr>
      <w:tr w:rsidR="00163CA7" w:rsidRPr="00163CA7" w14:paraId="77567489" w14:textId="77777777" w:rsidTr="00163CA7">
        <w:trPr>
          <w:jc w:val="center"/>
        </w:trPr>
        <w:tc>
          <w:tcPr>
            <w:tcW w:w="2448" w:type="dxa"/>
          </w:tcPr>
          <w:p w14:paraId="7042423D" w14:textId="0406767E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rtl/>
                <w:lang w:bidi="ar-SY"/>
              </w:rPr>
            </w:pPr>
            <w:r w:rsidRPr="00163CA7">
              <w:rPr>
                <w:lang w:bidi="ar-SY"/>
              </w:rPr>
              <w:t xml:space="preserve">up to 38 U/L           </w:t>
            </w:r>
          </w:p>
        </w:tc>
        <w:tc>
          <w:tcPr>
            <w:tcW w:w="1960" w:type="dxa"/>
          </w:tcPr>
          <w:p w14:paraId="38F42345" w14:textId="124D724F" w:rsidR="00163CA7" w:rsidRPr="00163CA7" w:rsidRDefault="00163CA7" w:rsidP="00163CA7">
            <w:pPr>
              <w:spacing w:after="120" w:line="276" w:lineRule="auto"/>
              <w:ind w:left="-279" w:right="-284"/>
              <w:jc w:val="both"/>
              <w:rPr>
                <w:rtl/>
                <w:lang w:bidi="ar-SY"/>
              </w:rPr>
            </w:pPr>
            <w:r w:rsidRPr="00163CA7">
              <w:rPr>
                <w:lang w:bidi="ar-SY"/>
              </w:rPr>
              <w:t xml:space="preserve">up to 15 U/L      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8F9EF1A" w14:textId="0AAA4C29" w:rsidR="00163CA7" w:rsidRPr="00163CA7" w:rsidRDefault="00163CA7" w:rsidP="00163CA7">
            <w:pPr>
              <w:spacing w:after="120" w:line="276" w:lineRule="auto"/>
              <w:ind w:right="-284"/>
              <w:jc w:val="both"/>
              <w:rPr>
                <w:rtl/>
                <w:lang w:bidi="ar-SY"/>
              </w:rPr>
            </w:pPr>
            <w:r>
              <w:rPr>
                <w:lang w:bidi="ar-SY"/>
              </w:rPr>
              <w:t xml:space="preserve">     Woman       </w:t>
            </w:r>
          </w:p>
        </w:tc>
      </w:tr>
    </w:tbl>
    <w:p w14:paraId="18F44E6A" w14:textId="77777777" w:rsidR="00D43B5F" w:rsidRPr="00163CA7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sz w:val="32"/>
          <w:szCs w:val="32"/>
          <w:rtl/>
          <w:lang w:bidi="ar-SY"/>
        </w:rPr>
      </w:pPr>
    </w:p>
    <w:p w14:paraId="5D55CEF9" w14:textId="77777777" w:rsidR="00D43B5F" w:rsidRPr="00163CA7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4252B1A9" w14:textId="77777777" w:rsidR="00D43B5F" w:rsidRPr="00163CA7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sectPr w:rsidR="00D43B5F" w:rsidRPr="00163CA7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09E5" w14:textId="77777777" w:rsidR="00570B27" w:rsidRDefault="00570B27" w:rsidP="00D05624">
      <w:r>
        <w:separator/>
      </w:r>
    </w:p>
  </w:endnote>
  <w:endnote w:type="continuationSeparator" w:id="0">
    <w:p w14:paraId="00339DA7" w14:textId="77777777" w:rsidR="00570B27" w:rsidRDefault="00570B27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EE8A" w14:textId="77777777" w:rsidR="00570B27" w:rsidRDefault="00570B27" w:rsidP="00D05624">
      <w:r>
        <w:separator/>
      </w:r>
    </w:p>
  </w:footnote>
  <w:footnote w:type="continuationSeparator" w:id="0">
    <w:p w14:paraId="6E494221" w14:textId="77777777" w:rsidR="00570B27" w:rsidRDefault="00570B27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B4588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A1"/>
    <w:multiLevelType w:val="hybridMultilevel"/>
    <w:tmpl w:val="9BCEB89E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" w15:restartNumberingAfterBreak="0">
    <w:nsid w:val="09DF54BE"/>
    <w:multiLevelType w:val="hybridMultilevel"/>
    <w:tmpl w:val="AEEE7F9E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DAE0FE1"/>
    <w:multiLevelType w:val="hybridMultilevel"/>
    <w:tmpl w:val="AEA6CCD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 w15:restartNumberingAfterBreak="0">
    <w:nsid w:val="1039018F"/>
    <w:multiLevelType w:val="hybridMultilevel"/>
    <w:tmpl w:val="F916432C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 w15:restartNumberingAfterBreak="0">
    <w:nsid w:val="14B76DA0"/>
    <w:multiLevelType w:val="hybridMultilevel"/>
    <w:tmpl w:val="AD0C4994"/>
    <w:lvl w:ilvl="0" w:tplc="495A8432">
      <w:start w:val="1"/>
      <w:numFmt w:val="bullet"/>
      <w:lvlText w:val="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5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C29F6"/>
    <w:multiLevelType w:val="hybridMultilevel"/>
    <w:tmpl w:val="35F428D0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7" w15:restartNumberingAfterBreak="0">
    <w:nsid w:val="205B7A98"/>
    <w:multiLevelType w:val="hybridMultilevel"/>
    <w:tmpl w:val="F7A03CA2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8" w15:restartNumberingAfterBreak="0">
    <w:nsid w:val="270056A8"/>
    <w:multiLevelType w:val="hybridMultilevel"/>
    <w:tmpl w:val="212AC93C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9" w15:restartNumberingAfterBreak="0">
    <w:nsid w:val="422D7EB9"/>
    <w:multiLevelType w:val="hybridMultilevel"/>
    <w:tmpl w:val="3F5C37F0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0" w15:restartNumberingAfterBreak="0">
    <w:nsid w:val="43CF1046"/>
    <w:multiLevelType w:val="hybridMultilevel"/>
    <w:tmpl w:val="E7E01BA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1" w15:restartNumberingAfterBreak="0">
    <w:nsid w:val="46FD2B12"/>
    <w:multiLevelType w:val="hybridMultilevel"/>
    <w:tmpl w:val="35F420F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2" w15:restartNumberingAfterBreak="0">
    <w:nsid w:val="4BBB0C16"/>
    <w:multiLevelType w:val="hybridMultilevel"/>
    <w:tmpl w:val="9CE8221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3" w15:restartNumberingAfterBreak="0">
    <w:nsid w:val="54C142A9"/>
    <w:multiLevelType w:val="hybridMultilevel"/>
    <w:tmpl w:val="96A26330"/>
    <w:lvl w:ilvl="0" w:tplc="FAECF3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5DEC"/>
    <w:multiLevelType w:val="hybridMultilevel"/>
    <w:tmpl w:val="FC2AA124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5" w15:restartNumberingAfterBreak="0">
    <w:nsid w:val="56AC4B21"/>
    <w:multiLevelType w:val="hybridMultilevel"/>
    <w:tmpl w:val="00B8F14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61F00830"/>
    <w:multiLevelType w:val="hybridMultilevel"/>
    <w:tmpl w:val="9948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FD1E3F"/>
    <w:multiLevelType w:val="hybridMultilevel"/>
    <w:tmpl w:val="2E364836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8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5"/>
  </w:num>
  <w:num w:numId="2" w16cid:durableId="119960233">
    <w:abstractNumId w:val="18"/>
  </w:num>
  <w:num w:numId="3" w16cid:durableId="217057474">
    <w:abstractNumId w:val="12"/>
  </w:num>
  <w:num w:numId="4" w16cid:durableId="157580076">
    <w:abstractNumId w:val="1"/>
  </w:num>
  <w:num w:numId="5" w16cid:durableId="1290744713">
    <w:abstractNumId w:val="7"/>
  </w:num>
  <w:num w:numId="6" w16cid:durableId="2136176774">
    <w:abstractNumId w:val="4"/>
  </w:num>
  <w:num w:numId="7" w16cid:durableId="537472683">
    <w:abstractNumId w:val="17"/>
  </w:num>
  <w:num w:numId="8" w16cid:durableId="324675800">
    <w:abstractNumId w:val="0"/>
  </w:num>
  <w:num w:numId="9" w16cid:durableId="8069422">
    <w:abstractNumId w:val="11"/>
  </w:num>
  <w:num w:numId="10" w16cid:durableId="632559499">
    <w:abstractNumId w:val="6"/>
  </w:num>
  <w:num w:numId="11" w16cid:durableId="763652817">
    <w:abstractNumId w:val="14"/>
  </w:num>
  <w:num w:numId="12" w16cid:durableId="646127415">
    <w:abstractNumId w:val="10"/>
  </w:num>
  <w:num w:numId="13" w16cid:durableId="106200837">
    <w:abstractNumId w:val="2"/>
  </w:num>
  <w:num w:numId="14" w16cid:durableId="1437406225">
    <w:abstractNumId w:val="8"/>
  </w:num>
  <w:num w:numId="15" w16cid:durableId="1177620357">
    <w:abstractNumId w:val="9"/>
  </w:num>
  <w:num w:numId="16" w16cid:durableId="1940942997">
    <w:abstractNumId w:val="15"/>
  </w:num>
  <w:num w:numId="17" w16cid:durableId="1930498860">
    <w:abstractNumId w:val="3"/>
  </w:num>
  <w:num w:numId="18" w16cid:durableId="1786072903">
    <w:abstractNumId w:val="16"/>
  </w:num>
  <w:num w:numId="19" w16cid:durableId="1831217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3546C"/>
    <w:rsid w:val="00044CE9"/>
    <w:rsid w:val="00047F26"/>
    <w:rsid w:val="000611D0"/>
    <w:rsid w:val="00063390"/>
    <w:rsid w:val="000B6526"/>
    <w:rsid w:val="00137DC0"/>
    <w:rsid w:val="001579D9"/>
    <w:rsid w:val="00163CA7"/>
    <w:rsid w:val="00167CE4"/>
    <w:rsid w:val="0017222F"/>
    <w:rsid w:val="00187BB0"/>
    <w:rsid w:val="001F783B"/>
    <w:rsid w:val="002C5634"/>
    <w:rsid w:val="00300C7F"/>
    <w:rsid w:val="003B7058"/>
    <w:rsid w:val="003E1627"/>
    <w:rsid w:val="00446A4B"/>
    <w:rsid w:val="0049227E"/>
    <w:rsid w:val="004B4588"/>
    <w:rsid w:val="004D06C8"/>
    <w:rsid w:val="005079D4"/>
    <w:rsid w:val="00570B27"/>
    <w:rsid w:val="00583407"/>
    <w:rsid w:val="005B4EF4"/>
    <w:rsid w:val="005E78E7"/>
    <w:rsid w:val="005F696B"/>
    <w:rsid w:val="00664A51"/>
    <w:rsid w:val="006E55D8"/>
    <w:rsid w:val="00701B29"/>
    <w:rsid w:val="00727C27"/>
    <w:rsid w:val="0083168D"/>
    <w:rsid w:val="00847301"/>
    <w:rsid w:val="00855B13"/>
    <w:rsid w:val="00871436"/>
    <w:rsid w:val="00913659"/>
    <w:rsid w:val="009C0A33"/>
    <w:rsid w:val="009C0CB4"/>
    <w:rsid w:val="00A057F2"/>
    <w:rsid w:val="00A6175F"/>
    <w:rsid w:val="00A66825"/>
    <w:rsid w:val="00AC0DE1"/>
    <w:rsid w:val="00AF26E4"/>
    <w:rsid w:val="00B349BB"/>
    <w:rsid w:val="00BA5B72"/>
    <w:rsid w:val="00BB2074"/>
    <w:rsid w:val="00BB62C7"/>
    <w:rsid w:val="00C24153"/>
    <w:rsid w:val="00C451AF"/>
    <w:rsid w:val="00CA681E"/>
    <w:rsid w:val="00D05624"/>
    <w:rsid w:val="00D43B5F"/>
    <w:rsid w:val="00D62DD4"/>
    <w:rsid w:val="00D8744D"/>
    <w:rsid w:val="00DA5A58"/>
    <w:rsid w:val="00DA5EDB"/>
    <w:rsid w:val="00DC2F28"/>
    <w:rsid w:val="00DC30F6"/>
    <w:rsid w:val="00E03332"/>
    <w:rsid w:val="00E05CB7"/>
    <w:rsid w:val="00E10D7E"/>
    <w:rsid w:val="00E4761C"/>
    <w:rsid w:val="00E75F08"/>
    <w:rsid w:val="00E926F6"/>
    <w:rsid w:val="00EB5CAD"/>
    <w:rsid w:val="00EE29E3"/>
    <w:rsid w:val="00F17418"/>
    <w:rsid w:val="00FB026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5E78E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163CA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14</cp:revision>
  <cp:lastPrinted>2023-05-02T06:37:00Z</cp:lastPrinted>
  <dcterms:created xsi:type="dcterms:W3CDTF">2023-05-03T09:14:00Z</dcterms:created>
  <dcterms:modified xsi:type="dcterms:W3CDTF">2023-05-10T07:07:00Z</dcterms:modified>
</cp:coreProperties>
</file>