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03C7E913"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71202A">
        <w:rPr>
          <w:rFonts w:ascii="Sakkal Majalla" w:hAnsi="Sakkal Majalla" w:cs="Sakkal Majalla" w:hint="cs"/>
          <w:rtl/>
        </w:rPr>
        <w:t>الصيدلة</w:t>
      </w:r>
    </w:p>
    <w:p w14:paraId="2E6F761C" w14:textId="42EA076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71202A">
        <w:rPr>
          <w:rFonts w:ascii="Sakkal Majalla" w:hAnsi="Sakkal Majalla" w:cs="Sakkal Majalla" w:hint="cs"/>
          <w:rtl/>
        </w:rPr>
        <w:t>الصيدلة الصناعية</w:t>
      </w:r>
    </w:p>
    <w:p w14:paraId="7B8DC8B7" w14:textId="2FAAEA55"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71202A">
        <w:rPr>
          <w:rFonts w:ascii="Sakkal Majalla" w:hAnsi="Sakkal Majalla" w:cs="Sakkal Majalla" w:hint="cs"/>
          <w:rtl/>
        </w:rPr>
        <w:t>3</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895ED83" w14:textId="77777777" w:rsidR="0071202A" w:rsidRPr="0071202A" w:rsidRDefault="0071202A" w:rsidP="0071202A">
      <w:pPr>
        <w:jc w:val="center"/>
        <w:rPr>
          <w:rFonts w:eastAsiaTheme="majorEastAsia"/>
          <w:b/>
          <w:bCs/>
          <w:color w:val="2F5496" w:themeColor="accent1" w:themeShade="BF"/>
          <w:kern w:val="2"/>
          <w:sz w:val="44"/>
          <w:szCs w:val="44"/>
          <w:rtl/>
          <w:lang w:bidi="ar-SY"/>
          <w14:ligatures w14:val="standardContextual"/>
        </w:rPr>
      </w:pPr>
      <w:r w:rsidRPr="0071202A">
        <w:rPr>
          <w:rFonts w:eastAsiaTheme="majorEastAsia"/>
          <w:b/>
          <w:bCs/>
          <w:color w:val="2F5496" w:themeColor="accent1" w:themeShade="BF"/>
          <w:kern w:val="2"/>
          <w:sz w:val="44"/>
          <w:szCs w:val="44"/>
          <w:rtl/>
          <w:lang w:bidi="ar-SY"/>
          <w14:ligatures w14:val="standardContextual"/>
        </w:rPr>
        <w:t>دراسة توزع أبعاد الحثيرات</w:t>
      </w:r>
    </w:p>
    <w:p w14:paraId="5AC5B087" w14:textId="77777777" w:rsidR="0071202A" w:rsidRPr="0071202A" w:rsidRDefault="0071202A" w:rsidP="0071202A">
      <w:pPr>
        <w:jc w:val="center"/>
        <w:rPr>
          <w:rFonts w:eastAsiaTheme="majorEastAsia"/>
          <w:b/>
          <w:bCs/>
          <w:color w:val="2F5496" w:themeColor="accent1" w:themeShade="BF"/>
          <w:kern w:val="2"/>
          <w:sz w:val="44"/>
          <w:szCs w:val="44"/>
          <w:rtl/>
          <w14:ligatures w14:val="standardContextual"/>
        </w:rPr>
      </w:pPr>
      <w:r w:rsidRPr="0071202A">
        <w:rPr>
          <w:rFonts w:eastAsiaTheme="majorEastAsia"/>
          <w:b/>
          <w:bCs/>
          <w:color w:val="2F5496" w:themeColor="accent1" w:themeShade="BF"/>
          <w:kern w:val="2"/>
          <w:sz w:val="44"/>
          <w:szCs w:val="44"/>
          <w:lang w:bidi="ar-SY"/>
          <w14:ligatures w14:val="standardContextual"/>
        </w:rPr>
        <w:t>Characterization of granules size distribution</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6A54B34" w:rsidR="00EE29E3" w:rsidRPr="00EE29E3" w:rsidRDefault="00EE29E3" w:rsidP="00EE29E3">
      <w:pPr>
        <w:rPr>
          <w:b/>
          <w:bCs/>
        </w:rPr>
      </w:pPr>
      <w:r w:rsidRPr="00EE29E3">
        <w:rPr>
          <w:rFonts w:hint="cs"/>
          <w:b/>
          <w:bCs/>
          <w:rtl/>
        </w:rPr>
        <w:t xml:space="preserve">الفصل الدراسي </w:t>
      </w:r>
      <w:r w:rsidR="0071202A">
        <w:rPr>
          <w:rFonts w:hint="cs"/>
          <w:b/>
          <w:bCs/>
          <w:rtl/>
        </w:rPr>
        <w:t>: الثاني</w:t>
      </w:r>
      <w:r w:rsidRPr="00EE29E3">
        <w:rPr>
          <w:rFonts w:hint="cs"/>
          <w:b/>
          <w:bCs/>
          <w:rtl/>
        </w:rPr>
        <w:t xml:space="preserve">                                                                                                                                                        العام الدراسي</w:t>
      </w:r>
      <w:r w:rsidR="0071202A">
        <w:rPr>
          <w:rFonts w:hint="cs"/>
          <w:b/>
          <w:bCs/>
          <w:rtl/>
        </w:rPr>
        <w:t>:2022-2023</w:t>
      </w:r>
    </w:p>
    <w:p w14:paraId="40287F2D" w14:textId="77777777" w:rsidR="0071202A" w:rsidRDefault="0071202A" w:rsidP="00BB2074">
      <w:pPr>
        <w:pStyle w:val="Title"/>
        <w:rPr>
          <w:rFonts w:ascii="Sakkal Majalla" w:hAnsi="Sakkal Majalla" w:cs="Sakkal Majalla"/>
          <w:rtl/>
        </w:rPr>
      </w:pPr>
    </w:p>
    <w:p w14:paraId="61BA6A3D" w14:textId="5E42B50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BA54366" w:rsidR="00855B13" w:rsidRPr="00446A4B" w:rsidRDefault="0071202A"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2E17509C" w:rsidR="00855B13" w:rsidRPr="00446A4B" w:rsidRDefault="0071202A"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5BB72186" w:rsidR="00855B13" w:rsidRPr="00446A4B" w:rsidRDefault="00C972E0" w:rsidP="00C972E0">
            <w:pPr>
              <w:pStyle w:val="Title"/>
              <w:rPr>
                <w:rFonts w:ascii="Sakkal Majalla" w:hAnsi="Sakkal Majalla" w:cs="Sakkal Majalla"/>
                <w:rtl/>
              </w:rPr>
            </w:pPr>
            <w:r w:rsidRPr="00C972E0">
              <w:rPr>
                <w:rFonts w:ascii="Sakkal Majalla" w:hAnsi="Sakkal Majalla" w:cs="Sakkal Majalla"/>
                <w:rtl/>
                <w:lang w:bidi="ar-SA"/>
              </w:rPr>
              <w:t xml:space="preserve">توزع أبعاد الأجزاء </w:t>
            </w:r>
            <w:r w:rsidRPr="00C972E0">
              <w:rPr>
                <w:rFonts w:ascii="Sakkal Majalla" w:hAnsi="Sakkal Majalla" w:cs="Sakkal Majalla" w:hint="cs"/>
                <w:rtl/>
                <w:lang w:bidi="ar-SA"/>
              </w:rPr>
              <w:t>و</w:t>
            </w:r>
            <w:r w:rsidRPr="00C972E0">
              <w:rPr>
                <w:rFonts w:ascii="Sakkal Majalla" w:hAnsi="Sakkal Majalla" w:cs="Sakkal Majalla"/>
                <w:rtl/>
                <w:lang w:bidi="ar-SA"/>
              </w:rPr>
              <w:t>منحني توزع الأبعاد</w:t>
            </w:r>
          </w:p>
        </w:tc>
        <w:tc>
          <w:tcPr>
            <w:tcW w:w="1553" w:type="dxa"/>
          </w:tcPr>
          <w:p w14:paraId="2F9FBC90" w14:textId="4BC4E5F7" w:rsidR="00855B13" w:rsidRPr="00446A4B" w:rsidRDefault="00C972E0"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5CA5920" w:rsidR="00855B13" w:rsidRPr="00446A4B" w:rsidRDefault="00C972E0" w:rsidP="00C972E0">
            <w:pPr>
              <w:pStyle w:val="Title"/>
              <w:rPr>
                <w:rFonts w:ascii="Sakkal Majalla" w:hAnsi="Sakkal Majalla" w:cs="Sakkal Majalla"/>
                <w:rtl/>
              </w:rPr>
            </w:pPr>
            <w:r w:rsidRPr="00C972E0">
              <w:rPr>
                <w:rFonts w:ascii="Sakkal Majalla" w:hAnsi="Sakkal Majalla" w:cs="Sakkal Majalla"/>
                <w:rtl/>
                <w:lang w:bidi="ar-SA"/>
              </w:rPr>
              <w:t>معالم منحني توزع الأبعاد</w:t>
            </w:r>
          </w:p>
        </w:tc>
        <w:tc>
          <w:tcPr>
            <w:tcW w:w="1553" w:type="dxa"/>
          </w:tcPr>
          <w:p w14:paraId="1511773D" w14:textId="59BBEB3C" w:rsidR="00855B13" w:rsidRPr="00446A4B" w:rsidRDefault="00C972E0"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5541D602" w:rsidR="00855B13" w:rsidRPr="00446A4B" w:rsidRDefault="00C972E0" w:rsidP="00C972E0">
            <w:pPr>
              <w:pStyle w:val="Title"/>
              <w:rPr>
                <w:rFonts w:ascii="Sakkal Majalla" w:hAnsi="Sakkal Majalla" w:cs="Sakkal Majalla"/>
                <w:rtl/>
              </w:rPr>
            </w:pPr>
            <w:r>
              <w:rPr>
                <w:rFonts w:ascii="Sakkal Majalla" w:hAnsi="Sakkal Majalla" w:cs="Sakkal Majalla" w:hint="cs"/>
                <w:rtl/>
                <w:lang w:bidi="ar-SA"/>
              </w:rPr>
              <w:t>أنماط</w:t>
            </w:r>
            <w:r w:rsidRPr="00C972E0">
              <w:rPr>
                <w:rFonts w:ascii="Sakkal Majalla" w:hAnsi="Sakkal Majalla" w:cs="Sakkal Majalla"/>
                <w:rtl/>
                <w:lang w:bidi="ar-SA"/>
              </w:rPr>
              <w:t xml:space="preserve"> منحني توزع الأبعاد</w:t>
            </w:r>
          </w:p>
        </w:tc>
        <w:tc>
          <w:tcPr>
            <w:tcW w:w="1553" w:type="dxa"/>
          </w:tcPr>
          <w:p w14:paraId="52E59292" w14:textId="193C34D7" w:rsidR="00855B13" w:rsidRPr="00446A4B" w:rsidRDefault="00C972E0"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33CDF3E" w14:textId="77777777" w:rsidTr="00855B13">
        <w:tc>
          <w:tcPr>
            <w:tcW w:w="7463" w:type="dxa"/>
          </w:tcPr>
          <w:p w14:paraId="1F9FBB58" w14:textId="642F5D59" w:rsidR="00855B13" w:rsidRPr="00446A4B" w:rsidRDefault="00DF5B93" w:rsidP="00D05624">
            <w:pPr>
              <w:pStyle w:val="Title"/>
              <w:rPr>
                <w:rFonts w:ascii="Sakkal Majalla" w:hAnsi="Sakkal Majalla" w:cs="Sakkal Majalla"/>
                <w:rtl/>
              </w:rPr>
            </w:pPr>
            <w:r>
              <w:rPr>
                <w:rFonts w:ascii="Sakkal Majalla" w:hAnsi="Sakkal Majalla" w:cs="Sakkal Majalla" w:hint="cs"/>
                <w:rtl/>
              </w:rPr>
              <w:t>طريقة النخل الجاف</w:t>
            </w:r>
          </w:p>
        </w:tc>
        <w:tc>
          <w:tcPr>
            <w:tcW w:w="1553" w:type="dxa"/>
          </w:tcPr>
          <w:p w14:paraId="4DE2DCC9" w14:textId="081D186B" w:rsidR="00855B13" w:rsidRPr="00446A4B" w:rsidRDefault="00DF5B93" w:rsidP="00D05624">
            <w:pPr>
              <w:pStyle w:val="Title"/>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6D749A62" w:rsidR="00847301" w:rsidRPr="00446A4B" w:rsidRDefault="00855B13" w:rsidP="00D05624">
      <w:pPr>
        <w:rPr>
          <w:rtl/>
        </w:rPr>
      </w:pPr>
      <w:r w:rsidRPr="00446A4B">
        <w:rPr>
          <w:rtl/>
        </w:rPr>
        <w:t>------------------------------------------------------------------------------------------------------------------------------</w:t>
      </w:r>
    </w:p>
    <w:p w14:paraId="698FEA29" w14:textId="77777777" w:rsidR="00847301" w:rsidRPr="00446A4B"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34BAFAA9"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rtl/>
        </w:rPr>
        <w:t xml:space="preserve">تلعب خصائص الحثيرات دوراً محورياً في مواصفات وأداء الشكل الصيدلاني النهائي، فتؤثر أبعاد الحثيرات وتوزع أبعاد الحثيرات بشكل أساسي في الانسياب وفي الانضغاط وتجانس المحتوى وتجانس أوزان المضغوطات: </w:t>
      </w:r>
    </w:p>
    <w:p w14:paraId="042EF20D" w14:textId="4B6DB72D" w:rsidR="0071202A" w:rsidRPr="0071202A" w:rsidRDefault="0071202A" w:rsidP="008A7053">
      <w:pPr>
        <w:pStyle w:val="ListParagraph"/>
        <w:widowControl w:val="0"/>
        <w:numPr>
          <w:ilvl w:val="0"/>
          <w:numId w:val="8"/>
        </w:numPr>
        <w:autoSpaceDE w:val="0"/>
        <w:autoSpaceDN w:val="0"/>
        <w:adjustRightInd w:val="0"/>
        <w:spacing w:after="0" w:line="240" w:lineRule="auto"/>
        <w:jc w:val="both"/>
        <w:rPr>
          <w:rtl/>
          <w:lang w:bidi="ar-SY"/>
        </w:rPr>
      </w:pPr>
      <w:r w:rsidRPr="0071202A">
        <w:rPr>
          <w:rtl/>
        </w:rPr>
        <w:t xml:space="preserve">عندما تكون الحثيرات بمنحني توزع أبعاد واسع </w:t>
      </w:r>
      <w:r w:rsidRPr="0071202A">
        <w:t>wide size distribution</w:t>
      </w:r>
      <w:r w:rsidRPr="0071202A">
        <w:rPr>
          <w:rtl/>
          <w:lang w:bidi="ar-SY"/>
        </w:rPr>
        <w:t xml:space="preserve"> تميل الحثيرات للانفصال عن بعضها في آلة الضغط.</w:t>
      </w:r>
    </w:p>
    <w:p w14:paraId="1808893C" w14:textId="644669F6" w:rsidR="0071202A" w:rsidRPr="0071202A" w:rsidRDefault="0071202A" w:rsidP="008A7053">
      <w:pPr>
        <w:pStyle w:val="ListParagraph"/>
        <w:widowControl w:val="0"/>
        <w:numPr>
          <w:ilvl w:val="0"/>
          <w:numId w:val="8"/>
        </w:numPr>
        <w:autoSpaceDE w:val="0"/>
        <w:autoSpaceDN w:val="0"/>
        <w:adjustRightInd w:val="0"/>
        <w:spacing w:after="0" w:line="240" w:lineRule="auto"/>
        <w:jc w:val="both"/>
        <w:rPr>
          <w:rtl/>
          <w:lang w:bidi="ar-SY"/>
        </w:rPr>
      </w:pPr>
      <w:r w:rsidRPr="0071202A">
        <w:rPr>
          <w:rtl/>
          <w:lang w:bidi="ar-SY"/>
        </w:rPr>
        <w:t xml:space="preserve">عندما تكون الحثيرات بأبعاد كبيرة وبمنحني توزع أبعاد ضيق </w:t>
      </w:r>
      <w:r w:rsidRPr="0071202A">
        <w:t>narrow size distribution</w:t>
      </w:r>
      <w:r w:rsidRPr="0071202A">
        <w:rPr>
          <w:rtl/>
          <w:lang w:bidi="ar-SY"/>
        </w:rPr>
        <w:t xml:space="preserve"> تتحسن انسيابية الحثيرات.</w:t>
      </w:r>
    </w:p>
    <w:p w14:paraId="0C5AECD7" w14:textId="173CB811" w:rsidR="00C972E0" w:rsidRDefault="0071202A" w:rsidP="008A7053">
      <w:pPr>
        <w:pStyle w:val="ListParagraph"/>
        <w:widowControl w:val="0"/>
        <w:numPr>
          <w:ilvl w:val="0"/>
          <w:numId w:val="8"/>
        </w:numPr>
        <w:autoSpaceDE w:val="0"/>
        <w:autoSpaceDN w:val="0"/>
        <w:adjustRightInd w:val="0"/>
        <w:spacing w:after="0" w:line="240" w:lineRule="auto"/>
        <w:jc w:val="both"/>
        <w:rPr>
          <w:lang w:bidi="ar-SY"/>
        </w:rPr>
      </w:pPr>
      <w:r w:rsidRPr="0071202A">
        <w:rPr>
          <w:rtl/>
          <w:lang w:bidi="ar-SY"/>
        </w:rPr>
        <w:t>تؤثر أبعاد الحثيرات وتوزع الأبعاد في إعادة ترتيب الحثيرات ومراحل انضغاطها خلال سير عملية الضغط: فهناك علاقة واضحة بين أبعاد الحثيرات واستجابتها لقوى الضغط فالحثيرات الكبيرة تتكسر لأصغر (ضياع جزء من الضغط المطبق على التكسير بدل اللحم) بينما الحثيرات الصغيرة تميل للتكدس وكذلك الحثيرات الصغيرة تسدّ الفراغات بين الحثيرات الكبيرة وتسهل تعبئة القالب.</w:t>
      </w:r>
    </w:p>
    <w:p w14:paraId="0C7BF417" w14:textId="6623F42A" w:rsidR="0071202A" w:rsidRPr="0071202A" w:rsidRDefault="0071202A" w:rsidP="008A7053">
      <w:pPr>
        <w:pStyle w:val="ListParagraph"/>
        <w:widowControl w:val="0"/>
        <w:numPr>
          <w:ilvl w:val="0"/>
          <w:numId w:val="8"/>
        </w:numPr>
        <w:autoSpaceDE w:val="0"/>
        <w:autoSpaceDN w:val="0"/>
        <w:adjustRightInd w:val="0"/>
        <w:spacing w:after="0" w:line="240" w:lineRule="auto"/>
        <w:jc w:val="both"/>
        <w:rPr>
          <w:rtl/>
          <w:lang w:bidi="ar-SY"/>
        </w:rPr>
      </w:pPr>
      <w:r w:rsidRPr="0071202A">
        <w:rPr>
          <w:rtl/>
          <w:lang w:bidi="ar-SY"/>
        </w:rPr>
        <w:t>عندما تكون الحثيرات بأبعاد متماثلة لا يحدث انفصال بين هذه الحثيرات وتكون المضغوطات متجانسة في المحتوى.</w:t>
      </w:r>
    </w:p>
    <w:p w14:paraId="0A4FC1BE" w14:textId="1EACD61F" w:rsidR="0071202A" w:rsidRPr="0071202A" w:rsidRDefault="0071202A" w:rsidP="008A7053">
      <w:pPr>
        <w:pStyle w:val="ListParagraph"/>
        <w:widowControl w:val="0"/>
        <w:numPr>
          <w:ilvl w:val="0"/>
          <w:numId w:val="8"/>
        </w:numPr>
        <w:autoSpaceDE w:val="0"/>
        <w:autoSpaceDN w:val="0"/>
        <w:adjustRightInd w:val="0"/>
        <w:spacing w:after="0" w:line="240" w:lineRule="auto"/>
        <w:jc w:val="both"/>
        <w:rPr>
          <w:rtl/>
        </w:rPr>
      </w:pPr>
      <w:r w:rsidRPr="0071202A">
        <w:rPr>
          <w:rtl/>
        </w:rPr>
        <w:t xml:space="preserve">تتأثر أبعاد الحثيرات ومنحني توزع الأبعاد بالمساحيق الداخلة في الصياغة وبنوع الجهاز المستخدم في التحثير. </w:t>
      </w:r>
    </w:p>
    <w:p w14:paraId="30C85005" w14:textId="77777777" w:rsidR="0071202A" w:rsidRPr="00C972E0" w:rsidRDefault="0071202A" w:rsidP="008A7053">
      <w:pPr>
        <w:widowControl w:val="0"/>
        <w:autoSpaceDE w:val="0"/>
        <w:autoSpaceDN w:val="0"/>
        <w:adjustRightInd w:val="0"/>
        <w:spacing w:after="0" w:line="240" w:lineRule="auto"/>
        <w:jc w:val="both"/>
        <w:rPr>
          <w:b/>
          <w:bCs/>
          <w:sz w:val="26"/>
          <w:szCs w:val="26"/>
          <w:rtl/>
          <w:lang w:bidi="ar-SY"/>
        </w:rPr>
      </w:pPr>
      <w:bookmarkStart w:id="2" w:name="_Hlk134361860"/>
      <w:r w:rsidRPr="00C972E0">
        <w:rPr>
          <w:b/>
          <w:bCs/>
          <w:sz w:val="26"/>
          <w:szCs w:val="26"/>
          <w:rtl/>
        </w:rPr>
        <w:t xml:space="preserve">توزع أبعاد الأجزاء </w:t>
      </w:r>
      <w:r w:rsidRPr="00C972E0">
        <w:rPr>
          <w:b/>
          <w:bCs/>
          <w:sz w:val="26"/>
          <w:szCs w:val="26"/>
        </w:rPr>
        <w:t>Particle size distribution</w:t>
      </w:r>
      <w:r w:rsidRPr="00C972E0">
        <w:rPr>
          <w:b/>
          <w:bCs/>
          <w:sz w:val="26"/>
          <w:szCs w:val="26"/>
          <w:rtl/>
          <w:lang w:bidi="ar-SY"/>
        </w:rPr>
        <w:t xml:space="preserve"> ومنحني توزع الأبعاد</w:t>
      </w:r>
      <w:bookmarkEnd w:id="2"/>
      <w:r w:rsidRPr="00C972E0">
        <w:rPr>
          <w:b/>
          <w:bCs/>
          <w:sz w:val="26"/>
          <w:szCs w:val="26"/>
          <w:rtl/>
          <w:lang w:bidi="ar-SY"/>
        </w:rPr>
        <w:t xml:space="preserve">: </w:t>
      </w:r>
    </w:p>
    <w:p w14:paraId="0FB299EC"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rtl/>
          <w:lang w:bidi="ar-SY"/>
        </w:rPr>
        <w:t xml:space="preserve">يتم تحديد توزع أبعاد تجمع أجزاء صلبة (مسحوق-حثيرات) من خلال فرز أو توزيع الحثيرات على مجالات أبعاد مختلفة وتحديد النسبة المئوية للحثيرات -في الكمية الكلية المقابلة- لكل مجال محدد من الأبعاد. ويتم تمثيل هذه المعطيات بيانياً بمنحني توزع الأبعاد. </w:t>
      </w:r>
    </w:p>
    <w:p w14:paraId="51C7BEDC"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rtl/>
          <w:lang w:bidi="ar-SY"/>
        </w:rPr>
        <w:t>يسمح منحني توزع الأبعاد بمعرفة نسبة أجزاء المسحوق المكافئة لبعد محدد. ويفيد منحني توزع الأبعاد بدراسة مقارنة لنعومة أجزاء (توزع أبعاد) عدة مساحيق.</w:t>
      </w:r>
    </w:p>
    <w:p w14:paraId="76F1ECBD"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noProof/>
          <w:rtl/>
        </w:rPr>
        <w:drawing>
          <wp:inline distT="0" distB="0" distL="0" distR="0" wp14:anchorId="27650FB4" wp14:editId="6B182868">
            <wp:extent cx="2790825" cy="1057275"/>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272" cy="1060854"/>
                    </a:xfrm>
                    <a:prstGeom prst="rect">
                      <a:avLst/>
                    </a:prstGeom>
                    <a:noFill/>
                    <a:ln>
                      <a:noFill/>
                    </a:ln>
                  </pic:spPr>
                </pic:pic>
              </a:graphicData>
            </a:graphic>
          </wp:inline>
        </w:drawing>
      </w:r>
    </w:p>
    <w:p w14:paraId="3A14014D" w14:textId="77777777" w:rsidR="0071202A" w:rsidRPr="0071202A" w:rsidRDefault="0071202A" w:rsidP="008A7053">
      <w:pPr>
        <w:widowControl w:val="0"/>
        <w:autoSpaceDE w:val="0"/>
        <w:autoSpaceDN w:val="0"/>
        <w:adjustRightInd w:val="0"/>
        <w:spacing w:after="0" w:line="240" w:lineRule="auto"/>
        <w:jc w:val="both"/>
        <w:rPr>
          <w:b/>
          <w:bCs/>
          <w:rtl/>
          <w:lang w:bidi="ar-SY"/>
        </w:rPr>
      </w:pPr>
      <w:r w:rsidRPr="0071202A">
        <w:rPr>
          <w:b/>
          <w:bCs/>
          <w:rtl/>
          <w:lang w:bidi="ar-SY"/>
        </w:rPr>
        <w:t>معالم منحني توزع الأبعاد:</w:t>
      </w:r>
    </w:p>
    <w:p w14:paraId="2C82BD84" w14:textId="77777777" w:rsidR="0071202A" w:rsidRPr="0071202A" w:rsidRDefault="0071202A" w:rsidP="008A7053">
      <w:pPr>
        <w:pStyle w:val="ListParagraph"/>
        <w:widowControl w:val="0"/>
        <w:numPr>
          <w:ilvl w:val="0"/>
          <w:numId w:val="7"/>
        </w:numPr>
        <w:autoSpaceDE w:val="0"/>
        <w:autoSpaceDN w:val="0"/>
        <w:adjustRightInd w:val="0"/>
        <w:spacing w:after="0" w:line="240" w:lineRule="auto"/>
        <w:jc w:val="both"/>
        <w:rPr>
          <w:rtl/>
          <w:lang w:bidi="ar-SY"/>
        </w:rPr>
      </w:pPr>
      <w:r w:rsidRPr="0071202A">
        <w:rPr>
          <w:rtl/>
          <w:lang w:bidi="ar-SY"/>
        </w:rPr>
        <w:t>المحور الأفقي هو: قيم أبعاد فتحات المناخل المستخدمة في القياس وهي تعبر عن أبعاد الحثيرات.</w:t>
      </w:r>
    </w:p>
    <w:p w14:paraId="2EAD42ED" w14:textId="77777777" w:rsidR="0071202A" w:rsidRPr="0071202A" w:rsidRDefault="0071202A" w:rsidP="008A7053">
      <w:pPr>
        <w:pStyle w:val="ListParagraph"/>
        <w:widowControl w:val="0"/>
        <w:numPr>
          <w:ilvl w:val="0"/>
          <w:numId w:val="7"/>
        </w:numPr>
        <w:autoSpaceDE w:val="0"/>
        <w:autoSpaceDN w:val="0"/>
        <w:adjustRightInd w:val="0"/>
        <w:spacing w:after="0" w:line="240" w:lineRule="auto"/>
        <w:jc w:val="both"/>
        <w:rPr>
          <w:rtl/>
          <w:lang w:bidi="ar-SY"/>
        </w:rPr>
      </w:pPr>
      <w:r w:rsidRPr="0071202A">
        <w:rPr>
          <w:rtl/>
          <w:lang w:bidi="ar-SY"/>
        </w:rPr>
        <w:t xml:space="preserve">المحور العمودي هو: قيم نسب التكرار </w:t>
      </w:r>
      <w:r w:rsidRPr="0071202A">
        <w:t>percent frequency values</w:t>
      </w:r>
      <w:r w:rsidRPr="0071202A">
        <w:rPr>
          <w:rtl/>
          <w:lang w:bidi="ar-SY"/>
        </w:rPr>
        <w:t>- وهي تعبر عن النسب المئوية للحثيرات المحتجزة المكافئة لـبعد محدد.</w:t>
      </w:r>
    </w:p>
    <w:p w14:paraId="47ED4CFF" w14:textId="77777777" w:rsidR="0071202A" w:rsidRPr="0071202A" w:rsidRDefault="0071202A" w:rsidP="008A7053">
      <w:pPr>
        <w:pStyle w:val="ListParagraph"/>
        <w:widowControl w:val="0"/>
        <w:numPr>
          <w:ilvl w:val="0"/>
          <w:numId w:val="7"/>
        </w:numPr>
        <w:autoSpaceDE w:val="0"/>
        <w:autoSpaceDN w:val="0"/>
        <w:adjustRightInd w:val="0"/>
        <w:spacing w:after="0" w:line="240" w:lineRule="auto"/>
        <w:jc w:val="both"/>
        <w:rPr>
          <w:rtl/>
          <w:lang w:bidi="ar-SY"/>
        </w:rPr>
      </w:pPr>
      <w:r w:rsidRPr="0071202A">
        <w:rPr>
          <w:rtl/>
          <w:lang w:bidi="ar-SY"/>
        </w:rPr>
        <w:t xml:space="preserve">الذروة </w:t>
      </w:r>
      <w:r w:rsidRPr="0071202A">
        <w:t>mode</w:t>
      </w:r>
      <w:r w:rsidRPr="0071202A">
        <w:rPr>
          <w:rtl/>
          <w:lang w:bidi="ar-SY"/>
        </w:rPr>
        <w:t>: هو ذروة المنحني- وهي تعبر عن أعلى نسبة من الحثيرات والمكافئة لبعد محدد.</w:t>
      </w:r>
    </w:p>
    <w:p w14:paraId="75AFB6BD" w14:textId="77777777" w:rsidR="0071202A" w:rsidRPr="0071202A" w:rsidRDefault="0071202A" w:rsidP="008A7053">
      <w:pPr>
        <w:widowControl w:val="0"/>
        <w:autoSpaceDE w:val="0"/>
        <w:autoSpaceDN w:val="0"/>
        <w:adjustRightInd w:val="0"/>
        <w:spacing w:after="0" w:line="240" w:lineRule="auto"/>
        <w:jc w:val="both"/>
        <w:rPr>
          <w:b/>
          <w:bCs/>
          <w:rtl/>
          <w:lang w:bidi="ar-SY"/>
        </w:rPr>
      </w:pPr>
      <w:r w:rsidRPr="0071202A">
        <w:rPr>
          <w:b/>
          <w:bCs/>
          <w:rtl/>
          <w:lang w:bidi="ar-SY"/>
        </w:rPr>
        <w:t xml:space="preserve"> </w:t>
      </w:r>
    </w:p>
    <w:p w14:paraId="71026446" w14:textId="77777777" w:rsidR="0071202A" w:rsidRPr="0071202A" w:rsidRDefault="0071202A" w:rsidP="008A7053">
      <w:pPr>
        <w:widowControl w:val="0"/>
        <w:autoSpaceDE w:val="0"/>
        <w:autoSpaceDN w:val="0"/>
        <w:adjustRightInd w:val="0"/>
        <w:spacing w:after="0" w:line="240" w:lineRule="auto"/>
        <w:jc w:val="both"/>
        <w:rPr>
          <w:b/>
          <w:bCs/>
          <w:rtl/>
          <w:lang w:bidi="ar-SY"/>
        </w:rPr>
      </w:pPr>
      <w:r w:rsidRPr="0071202A">
        <w:rPr>
          <w:b/>
          <w:bCs/>
          <w:rtl/>
          <w:lang w:bidi="ar-SY"/>
        </w:rPr>
        <w:t xml:space="preserve">  أنماط منحني توزع الأبعاد:</w:t>
      </w:r>
    </w:p>
    <w:p w14:paraId="03CDB5C3" w14:textId="77777777" w:rsidR="0071202A" w:rsidRPr="0071202A" w:rsidRDefault="0071202A" w:rsidP="008A7053">
      <w:pPr>
        <w:pStyle w:val="ListParagraph"/>
        <w:widowControl w:val="0"/>
        <w:numPr>
          <w:ilvl w:val="0"/>
          <w:numId w:val="4"/>
        </w:numPr>
        <w:autoSpaceDE w:val="0"/>
        <w:autoSpaceDN w:val="0"/>
        <w:adjustRightInd w:val="0"/>
        <w:spacing w:after="0" w:line="240" w:lineRule="auto"/>
        <w:jc w:val="both"/>
        <w:rPr>
          <w:rtl/>
          <w:lang w:bidi="ar-SY"/>
        </w:rPr>
      </w:pPr>
      <w:r w:rsidRPr="0071202A">
        <w:rPr>
          <w:b/>
          <w:bCs/>
          <w:rtl/>
          <w:lang w:bidi="ar-SY"/>
        </w:rPr>
        <w:t xml:space="preserve">التوزع الطبيعي </w:t>
      </w:r>
      <w:r w:rsidRPr="0071202A">
        <w:rPr>
          <w:b/>
          <w:bCs/>
        </w:rPr>
        <w:t>normally distributed</w:t>
      </w:r>
      <w:r w:rsidRPr="0071202A">
        <w:rPr>
          <w:rtl/>
          <w:lang w:bidi="ar-SY"/>
        </w:rPr>
        <w:t xml:space="preserve">: تكون أعلى نسبة للمسحوق مقابلة لمنتصف قيم الأبعاد أي تتوضع الذروة في منتصف المنحني وتقسم المنحني لنصفين متطابقين. </w:t>
      </w:r>
    </w:p>
    <w:p w14:paraId="05C2B5B6" w14:textId="77777777" w:rsidR="0071202A" w:rsidRPr="0071202A" w:rsidRDefault="0071202A" w:rsidP="008A7053">
      <w:pPr>
        <w:pStyle w:val="ListParagraph"/>
        <w:widowControl w:val="0"/>
        <w:numPr>
          <w:ilvl w:val="0"/>
          <w:numId w:val="5"/>
        </w:numPr>
        <w:autoSpaceDE w:val="0"/>
        <w:autoSpaceDN w:val="0"/>
        <w:adjustRightInd w:val="0"/>
        <w:spacing w:after="0" w:line="240" w:lineRule="auto"/>
        <w:jc w:val="both"/>
        <w:rPr>
          <w:lang w:bidi="ar-SY"/>
        </w:rPr>
      </w:pPr>
      <w:r w:rsidRPr="0071202A">
        <w:rPr>
          <w:b/>
          <w:bCs/>
          <w:rtl/>
          <w:lang w:bidi="ar-SY"/>
        </w:rPr>
        <w:t xml:space="preserve">التوزع الملتوي- المنحرف </w:t>
      </w:r>
      <w:r w:rsidRPr="0071202A">
        <w:rPr>
          <w:b/>
          <w:bCs/>
        </w:rPr>
        <w:t>skewed distributed</w:t>
      </w:r>
      <w:r w:rsidRPr="0071202A">
        <w:rPr>
          <w:b/>
          <w:bCs/>
          <w:rtl/>
          <w:lang w:bidi="ar-SY"/>
        </w:rPr>
        <w:t>:</w:t>
      </w:r>
      <w:r w:rsidRPr="0071202A">
        <w:rPr>
          <w:rtl/>
          <w:lang w:bidi="ar-SY"/>
        </w:rPr>
        <w:t xml:space="preserve"> تكون أعلى نسبة للمسحوق مقابلة للقيم الطرفية للأبعاد أي تتوضع الذروة في أحد جانبي المنحني وتقسم المنحني لجزئين غير متطابقين (جزء الذروة وجزء الذيل).        </w:t>
      </w:r>
    </w:p>
    <w:p w14:paraId="19C1BF9E" w14:textId="77777777" w:rsidR="0071202A" w:rsidRPr="0071202A" w:rsidRDefault="0071202A" w:rsidP="008A7053">
      <w:pPr>
        <w:pStyle w:val="ListParagraph"/>
        <w:widowControl w:val="0"/>
        <w:autoSpaceDE w:val="0"/>
        <w:autoSpaceDN w:val="0"/>
        <w:adjustRightInd w:val="0"/>
        <w:jc w:val="both"/>
        <w:rPr>
          <w:lang w:bidi="ar-SY"/>
        </w:rPr>
      </w:pPr>
      <w:r w:rsidRPr="0071202A">
        <w:rPr>
          <w:rtl/>
          <w:lang w:bidi="ar-SY"/>
        </w:rPr>
        <w:t xml:space="preserve">                                                           </w:t>
      </w:r>
      <w:r w:rsidRPr="0071202A">
        <w:rPr>
          <w:noProof/>
          <w:rtl/>
        </w:rPr>
        <w:drawing>
          <wp:inline distT="0" distB="0" distL="0" distR="0" wp14:anchorId="18D30A94" wp14:editId="73499FB6">
            <wp:extent cx="2091680" cy="714375"/>
            <wp:effectExtent l="0" t="0" r="444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680" cy="714375"/>
                    </a:xfrm>
                    <a:prstGeom prst="rect">
                      <a:avLst/>
                    </a:prstGeom>
                    <a:noFill/>
                    <a:ln>
                      <a:noFill/>
                    </a:ln>
                  </pic:spPr>
                </pic:pic>
              </a:graphicData>
            </a:graphic>
          </wp:inline>
        </w:drawing>
      </w:r>
    </w:p>
    <w:p w14:paraId="38E0C23A"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rtl/>
          <w:lang w:bidi="ar-SY"/>
        </w:rPr>
        <w:lastRenderedPageBreak/>
        <w:t xml:space="preserve">ونميز بين </w:t>
      </w:r>
      <w:r w:rsidRPr="0071202A">
        <w:rPr>
          <w:b/>
          <w:bCs/>
          <w:rtl/>
          <w:lang w:bidi="ar-SY"/>
        </w:rPr>
        <w:t xml:space="preserve">التوزع المنحرف لليمين </w:t>
      </w:r>
      <w:r w:rsidRPr="0071202A">
        <w:rPr>
          <w:b/>
          <w:bCs/>
        </w:rPr>
        <w:t>positively skewed</w:t>
      </w:r>
      <w:r w:rsidRPr="0071202A">
        <w:rPr>
          <w:rtl/>
          <w:lang w:bidi="ar-SY"/>
        </w:rPr>
        <w:t xml:space="preserve"> تتوضع الذروة في الجزء المقابل للأبعاد الصغيرة والذيل يكون مقابل للقيم الكبيرة (النسبة الأعلى من أجزاء المسحوق ناعمة صغيرة الأبعاد)          </w:t>
      </w:r>
      <w:r w:rsidRPr="0071202A">
        <w:rPr>
          <w:noProof/>
          <w:rtl/>
        </w:rPr>
        <w:t xml:space="preserve"> </w:t>
      </w:r>
    </w:p>
    <w:p w14:paraId="2187FCE5" w14:textId="77777777" w:rsidR="0071202A" w:rsidRPr="0071202A" w:rsidRDefault="0071202A" w:rsidP="008A7053">
      <w:pPr>
        <w:pStyle w:val="ListParagraph"/>
        <w:widowControl w:val="0"/>
        <w:autoSpaceDE w:val="0"/>
        <w:autoSpaceDN w:val="0"/>
        <w:adjustRightInd w:val="0"/>
        <w:jc w:val="both"/>
        <w:rPr>
          <w:rtl/>
          <w:lang w:bidi="ar-SY"/>
        </w:rPr>
      </w:pPr>
      <w:r w:rsidRPr="0071202A">
        <w:rPr>
          <w:b/>
          <w:bCs/>
          <w:rtl/>
          <w:lang w:bidi="ar-SY"/>
        </w:rPr>
        <w:t xml:space="preserve">التوزع المنحرف لليسار </w:t>
      </w:r>
      <w:r w:rsidRPr="0071202A">
        <w:rPr>
          <w:b/>
          <w:bCs/>
        </w:rPr>
        <w:t>skewed</w:t>
      </w:r>
      <w:r w:rsidRPr="0071202A">
        <w:rPr>
          <w:b/>
          <w:bCs/>
          <w:rtl/>
          <w:lang w:bidi="ar-SY"/>
        </w:rPr>
        <w:t xml:space="preserve"> </w:t>
      </w:r>
      <w:r w:rsidRPr="0071202A">
        <w:rPr>
          <w:b/>
          <w:bCs/>
        </w:rPr>
        <w:t xml:space="preserve"> negatively </w:t>
      </w:r>
      <w:r w:rsidRPr="0071202A">
        <w:rPr>
          <w:b/>
          <w:bCs/>
          <w:rtl/>
          <w:lang w:bidi="ar-SY"/>
        </w:rPr>
        <w:t>تقابل</w:t>
      </w:r>
      <w:r w:rsidRPr="0071202A">
        <w:rPr>
          <w:rtl/>
          <w:lang w:bidi="ar-SY"/>
        </w:rPr>
        <w:t xml:space="preserve"> ذروة المنحني القيم الكبيرة للأبعاد والذيل القيم الصغيرة للأبعاد (النسبة الأعلى من أجزاء المسحوق خشنة كبيرة الابعاد)</w:t>
      </w:r>
    </w:p>
    <w:p w14:paraId="78FD9E27" w14:textId="77777777" w:rsidR="0071202A" w:rsidRPr="0071202A" w:rsidRDefault="0071202A" w:rsidP="008A7053">
      <w:pPr>
        <w:pStyle w:val="ListParagraph"/>
        <w:widowControl w:val="0"/>
        <w:numPr>
          <w:ilvl w:val="0"/>
          <w:numId w:val="6"/>
        </w:numPr>
        <w:autoSpaceDE w:val="0"/>
        <w:autoSpaceDN w:val="0"/>
        <w:adjustRightInd w:val="0"/>
        <w:spacing w:after="0" w:line="240" w:lineRule="auto"/>
        <w:jc w:val="both"/>
        <w:rPr>
          <w:rtl/>
          <w:lang w:bidi="ar-SY"/>
        </w:rPr>
      </w:pPr>
      <w:r w:rsidRPr="0071202A">
        <w:rPr>
          <w:b/>
          <w:bCs/>
          <w:rtl/>
          <w:lang w:bidi="ar-SY"/>
        </w:rPr>
        <w:t xml:space="preserve">التوزع ذو الذروتين </w:t>
      </w:r>
      <w:r w:rsidRPr="0071202A">
        <w:rPr>
          <w:b/>
          <w:bCs/>
        </w:rPr>
        <w:t>bimodal distribution</w:t>
      </w:r>
      <w:r w:rsidRPr="0071202A">
        <w:rPr>
          <w:b/>
          <w:bCs/>
          <w:rtl/>
          <w:lang w:bidi="ar-SY"/>
        </w:rPr>
        <w:t>:</w:t>
      </w:r>
      <w:r w:rsidRPr="0071202A">
        <w:rPr>
          <w:rtl/>
          <w:lang w:bidi="ar-SY"/>
        </w:rPr>
        <w:t xml:space="preserve"> تكون هناك ذروتين للمنحني: ذروة  تعبر عن أعلى نسبة للأجزاء الخشنة وذروة تعبر عن أعلى نسبة للأجزاء الناعمة. ينتج هذا النمط من التوزع عندما تكون عملية الطحن غير كاملة أو فعالة فيبقى جزء كبير من المسحوق خشن بأبعاد كبيرة (الذروة الأولى) والجزء المتبقي يكون ناعم بأبعاد صغيرة (الذروة الثانية).</w:t>
      </w:r>
    </w:p>
    <w:p w14:paraId="3AB92A6C" w14:textId="4783B103" w:rsidR="00EB21B5" w:rsidRDefault="0071202A" w:rsidP="008A7053">
      <w:pPr>
        <w:widowControl w:val="0"/>
        <w:autoSpaceDE w:val="0"/>
        <w:autoSpaceDN w:val="0"/>
        <w:adjustRightInd w:val="0"/>
        <w:spacing w:after="0" w:line="240" w:lineRule="auto"/>
        <w:jc w:val="both"/>
        <w:rPr>
          <w:rtl/>
          <w:lang w:bidi="ar-SY"/>
        </w:rPr>
      </w:pPr>
      <w:r w:rsidRPr="0071202A">
        <w:rPr>
          <w:rtl/>
          <w:lang w:bidi="ar-SY"/>
        </w:rPr>
        <w:t xml:space="preserve">توجد عدة طرق لدراسة أبعاد أجزاء المسحوق، وتعتبر الطريقة التي تستخدم المناخل </w:t>
      </w:r>
      <w:r w:rsidRPr="0071202A">
        <w:rPr>
          <w:lang w:bidi="ar-SY"/>
        </w:rPr>
        <w:t>sieving method</w:t>
      </w:r>
      <w:r w:rsidRPr="0071202A">
        <w:rPr>
          <w:rtl/>
          <w:lang w:bidi="ar-SY"/>
        </w:rPr>
        <w:t xml:space="preserve"> إحدى أبسط الطرق.</w:t>
      </w:r>
      <w:r w:rsidRPr="0071202A">
        <w:rPr>
          <w:noProof/>
        </w:rPr>
        <w:drawing>
          <wp:anchor distT="0" distB="0" distL="114300" distR="114300" simplePos="0" relativeHeight="251659264" behindDoc="0" locked="0" layoutInCell="1" allowOverlap="1" wp14:anchorId="6A81020D" wp14:editId="72388D27">
            <wp:simplePos x="0" y="0"/>
            <wp:positionH relativeFrom="column">
              <wp:posOffset>-142875</wp:posOffset>
            </wp:positionH>
            <wp:positionV relativeFrom="paragraph">
              <wp:posOffset>969645</wp:posOffset>
            </wp:positionV>
            <wp:extent cx="1143000" cy="1447800"/>
            <wp:effectExtent l="0" t="0" r="0" b="0"/>
            <wp:wrapSquare wrapText="bothSides"/>
            <wp:docPr id="3" name="صورة 3" descr="Sieve Analysis Calculations a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ve Analysis Calculations and 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02A">
        <w:rPr>
          <w:rtl/>
          <w:lang w:bidi="ar-SY"/>
        </w:rPr>
        <w:t xml:space="preserve"> </w:t>
      </w:r>
    </w:p>
    <w:p w14:paraId="1D6D9C87" w14:textId="77777777" w:rsidR="00EB21B5" w:rsidRPr="00EB21B5" w:rsidRDefault="00EB21B5" w:rsidP="008A7053">
      <w:pPr>
        <w:widowControl w:val="0"/>
        <w:autoSpaceDE w:val="0"/>
        <w:autoSpaceDN w:val="0"/>
        <w:adjustRightInd w:val="0"/>
        <w:spacing w:after="0" w:line="240" w:lineRule="auto"/>
        <w:jc w:val="both"/>
        <w:rPr>
          <w:b/>
          <w:bCs/>
          <w:sz w:val="26"/>
          <w:szCs w:val="26"/>
          <w:rtl/>
          <w:lang w:bidi="ar-SY"/>
        </w:rPr>
      </w:pPr>
      <w:r w:rsidRPr="00EB21B5">
        <w:rPr>
          <w:rFonts w:hint="cs"/>
          <w:b/>
          <w:bCs/>
          <w:sz w:val="26"/>
          <w:szCs w:val="26"/>
          <w:rtl/>
          <w:lang w:bidi="ar-SY"/>
        </w:rPr>
        <w:t>طريقة النخل الجاف:</w:t>
      </w:r>
    </w:p>
    <w:p w14:paraId="34A92A84" w14:textId="111AADA1" w:rsidR="0071202A" w:rsidRPr="0071202A" w:rsidRDefault="00EB21B5" w:rsidP="008A7053">
      <w:pPr>
        <w:widowControl w:val="0"/>
        <w:autoSpaceDE w:val="0"/>
        <w:autoSpaceDN w:val="0"/>
        <w:adjustRightInd w:val="0"/>
        <w:spacing w:after="0" w:line="240" w:lineRule="auto"/>
        <w:jc w:val="both"/>
        <w:rPr>
          <w:rtl/>
          <w:lang w:bidi="ar-SY"/>
        </w:rPr>
      </w:pPr>
      <w:r>
        <w:rPr>
          <w:rFonts w:hint="cs"/>
          <w:rtl/>
          <w:lang w:bidi="ar-SY"/>
        </w:rPr>
        <w:t>ن</w:t>
      </w:r>
      <w:r w:rsidR="0071202A" w:rsidRPr="0071202A">
        <w:rPr>
          <w:rtl/>
          <w:lang w:bidi="ar-SY"/>
        </w:rPr>
        <w:t xml:space="preserve">ستخدم في هذه الطريقة سلسلة من المناخل القياسية الدستورية ضمن مجال توزع أبعاد الأجزاء المطلوب (من </w:t>
      </w:r>
      <w:r w:rsidR="0071202A" w:rsidRPr="0071202A">
        <w:rPr>
          <w:lang w:bidi="ar-SY"/>
        </w:rPr>
        <w:t>2000</w:t>
      </w:r>
      <w:r w:rsidR="0071202A" w:rsidRPr="0071202A">
        <w:rPr>
          <w:rFonts w:ascii="Cambria" w:hAnsi="Cambria" w:cs="Cambria"/>
          <w:lang w:bidi="ar-SY"/>
        </w:rPr>
        <w:t>μ</w:t>
      </w:r>
      <w:r w:rsidR="0071202A" w:rsidRPr="0071202A">
        <w:rPr>
          <w:lang w:bidi="ar-SY"/>
        </w:rPr>
        <w:t>m</w:t>
      </w:r>
      <w:r w:rsidR="0071202A" w:rsidRPr="0071202A">
        <w:rPr>
          <w:rtl/>
          <w:lang w:bidi="ar-SY"/>
        </w:rPr>
        <w:t xml:space="preserve"> إلى </w:t>
      </w:r>
      <w:r w:rsidR="0071202A" w:rsidRPr="0071202A">
        <w:rPr>
          <w:lang w:bidi="ar-SY"/>
        </w:rPr>
        <w:t xml:space="preserve">75 </w:t>
      </w:r>
      <w:proofErr w:type="spellStart"/>
      <w:r w:rsidR="0071202A" w:rsidRPr="0071202A">
        <w:rPr>
          <w:rFonts w:ascii="Cambria" w:hAnsi="Cambria" w:cs="Cambria"/>
          <w:lang w:bidi="ar-SY"/>
        </w:rPr>
        <w:t>μ</w:t>
      </w:r>
      <w:r w:rsidR="0071202A" w:rsidRPr="0071202A">
        <w:rPr>
          <w:lang w:bidi="ar-SY"/>
        </w:rPr>
        <w:t>m</w:t>
      </w:r>
      <w:proofErr w:type="spellEnd"/>
      <w:r w:rsidR="0071202A" w:rsidRPr="0071202A">
        <w:rPr>
          <w:rtl/>
          <w:lang w:bidi="ar-SY"/>
        </w:rPr>
        <w:t xml:space="preserve"> مثلاً). ترتب المناخل بحسب أبعاد فتحاتها المتناقصة (من الأكبر للأصغر) وفي نهاية سلسلة المناخل يوجد وعاء الاستقبال. يوضع المسحوق ضمن المنخل الأعلى وتعرّض للرج لزمن محدد (تحدد نهاية الاختبار عندما لا تتغير كمية الحثيرات المحتجزة على المناخل بأكثر من 5%)، ثم توزن كمية المسحوق المحتجزة على كل منخل وتحسب النسبة المئوية لكمية المسحوق المحتجزة على منخل محدد </w:t>
      </w:r>
      <w:r w:rsidR="0071202A" w:rsidRPr="0071202A">
        <w:rPr>
          <w:lang w:bidi="ar-SY"/>
        </w:rPr>
        <w:t>D</w:t>
      </w:r>
      <w:r w:rsidR="0071202A" w:rsidRPr="0071202A">
        <w:rPr>
          <w:rtl/>
          <w:lang w:bidi="ar-SY"/>
        </w:rPr>
        <w:t>%.</w:t>
      </w:r>
    </w:p>
    <w:p w14:paraId="58D0D69B"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lang w:bidi="ar-SY"/>
        </w:rPr>
        <w:t>D</w:t>
      </w:r>
      <w:r w:rsidRPr="0071202A">
        <w:rPr>
          <w:rtl/>
          <w:lang w:bidi="ar-SY"/>
        </w:rPr>
        <w:t xml:space="preserve">% =  </w:t>
      </w:r>
      <m:oMath>
        <m:f>
          <m:fPr>
            <m:ctrlPr>
              <w:rPr>
                <w:rFonts w:ascii="Cambria Math" w:hAnsi="Cambria Math"/>
                <w:lang w:bidi="ar-SY"/>
              </w:rPr>
            </m:ctrlPr>
          </m:fPr>
          <m:num>
            <m:r>
              <m:rPr>
                <m:sty m:val="p"/>
              </m:rPr>
              <w:rPr>
                <w:rFonts w:ascii="Cambria Math" w:hAnsi="Cambria Math"/>
                <w:lang w:bidi="ar-SY"/>
              </w:rPr>
              <m:t>Wi</m:t>
            </m:r>
          </m:num>
          <m:den>
            <m:r>
              <m:rPr>
                <m:sty m:val="p"/>
              </m:rPr>
              <w:rPr>
                <w:rFonts w:ascii="Cambria Math" w:hAnsi="Cambria Math"/>
                <w:lang w:bidi="ar-SY"/>
              </w:rPr>
              <m:t>W</m:t>
            </m:r>
          </m:den>
        </m:f>
      </m:oMath>
      <w:r w:rsidRPr="0071202A">
        <w:rPr>
          <w:rtl/>
          <w:lang w:bidi="ar-SY"/>
        </w:rPr>
        <w:t xml:space="preserve">  * 100 حيث:</w:t>
      </w:r>
    </w:p>
    <w:p w14:paraId="5EC5CB2D" w14:textId="77777777" w:rsidR="0071202A" w:rsidRPr="0071202A" w:rsidRDefault="0071202A" w:rsidP="008A7053">
      <w:pPr>
        <w:widowControl w:val="0"/>
        <w:autoSpaceDE w:val="0"/>
        <w:autoSpaceDN w:val="0"/>
        <w:adjustRightInd w:val="0"/>
        <w:spacing w:after="0" w:line="240" w:lineRule="auto"/>
        <w:jc w:val="both"/>
        <w:rPr>
          <w:rtl/>
          <w:lang w:bidi="ar-SY"/>
        </w:rPr>
      </w:pPr>
      <w:r w:rsidRPr="0071202A">
        <w:rPr>
          <w:lang w:bidi="ar-SY"/>
        </w:rPr>
        <w:t>Wi</w:t>
      </w:r>
      <w:r w:rsidRPr="0071202A">
        <w:rPr>
          <w:rtl/>
          <w:lang w:bidi="ar-SY"/>
        </w:rPr>
        <w:t>: وزن الحثيرات المحتجزة على المنخل،</w:t>
      </w:r>
      <w:r w:rsidRPr="0071202A">
        <w:rPr>
          <w:lang w:bidi="ar-SY"/>
        </w:rPr>
        <w:t xml:space="preserve"> </w:t>
      </w:r>
      <w:proofErr w:type="gramStart"/>
      <w:r w:rsidRPr="0071202A">
        <w:rPr>
          <w:lang w:bidi="ar-SY"/>
        </w:rPr>
        <w:t xml:space="preserve">W </w:t>
      </w:r>
      <w:r w:rsidRPr="0071202A">
        <w:rPr>
          <w:rtl/>
          <w:lang w:bidi="ar-SY"/>
        </w:rPr>
        <w:t>:</w:t>
      </w:r>
      <w:proofErr w:type="gramEnd"/>
      <w:r w:rsidRPr="0071202A">
        <w:rPr>
          <w:rtl/>
          <w:lang w:bidi="ar-SY"/>
        </w:rPr>
        <w:t xml:space="preserve"> وزن الحثيرات الكلي.</w:t>
      </w:r>
      <w:r w:rsidRPr="0071202A">
        <w:rPr>
          <w:rtl/>
          <w:lang w:bidi="ar-SY"/>
        </w:rPr>
        <w:fldChar w:fldCharType="begin"/>
      </w:r>
      <w:r w:rsidRPr="0071202A">
        <w:rPr>
          <w:rtl/>
          <w:lang w:bidi="ar-SY"/>
        </w:rPr>
        <w:instrText xml:space="preserve"> </w:instrText>
      </w:r>
      <w:r w:rsidRPr="0071202A">
        <w:rPr>
          <w:lang w:bidi="ar-SY"/>
        </w:rPr>
        <w:instrText>QUOTE</w:instrText>
      </w:r>
      <w:r w:rsidRPr="0071202A">
        <w:rPr>
          <w:rtl/>
          <w:lang w:bidi="ar-SY"/>
        </w:rPr>
        <w:instrText xml:space="preserve"> </w:instrText>
      </w:r>
      <w:r w:rsidRPr="0071202A">
        <w:rPr>
          <w:noProof/>
        </w:rPr>
        <w:drawing>
          <wp:inline distT="0" distB="0" distL="0" distR="0" wp14:anchorId="7E8C089A" wp14:editId="5D32EA77">
            <wp:extent cx="247650" cy="2667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1202A">
        <w:rPr>
          <w:rtl/>
          <w:lang w:bidi="ar-SY"/>
        </w:rPr>
        <w:instrText xml:space="preserve"> </w:instrText>
      </w:r>
      <w:r w:rsidRPr="0071202A">
        <w:rPr>
          <w:rtl/>
          <w:lang w:bidi="ar-SY"/>
        </w:rPr>
        <w:fldChar w:fldCharType="end"/>
      </w:r>
    </w:p>
    <w:p w14:paraId="65107980" w14:textId="77777777" w:rsidR="0071202A" w:rsidRPr="00E3105A" w:rsidRDefault="0071202A" w:rsidP="008A7053">
      <w:pPr>
        <w:widowControl w:val="0"/>
        <w:autoSpaceDE w:val="0"/>
        <w:autoSpaceDN w:val="0"/>
        <w:adjustRightInd w:val="0"/>
        <w:spacing w:after="0" w:line="240" w:lineRule="auto"/>
        <w:jc w:val="both"/>
        <w:rPr>
          <w:rtl/>
          <w:lang w:bidi="ar-SY"/>
        </w:rPr>
      </w:pPr>
      <w:r w:rsidRPr="00E3105A">
        <w:rPr>
          <w:rtl/>
          <w:lang w:bidi="ar-SY"/>
        </w:rPr>
        <w:t>ثم تمثل المعطيات بشكل نسب مئوية لكمية الحثيرات المحتجزة مع أبعاد فتحات المناخل.</w:t>
      </w:r>
      <w:r w:rsidRPr="00E3105A">
        <w:rPr>
          <w:lang w:bidi="ar-SY"/>
        </w:rPr>
        <w:t xml:space="preserve"> </w:t>
      </w:r>
      <w:r w:rsidRPr="00E3105A">
        <w:rPr>
          <w:noProof/>
          <w:rtl/>
        </w:rPr>
        <w:t xml:space="preserve">              </w:t>
      </w:r>
    </w:p>
    <w:p w14:paraId="441222E1" w14:textId="77777777" w:rsidR="0071202A" w:rsidRPr="00E3105A" w:rsidRDefault="0071202A" w:rsidP="008A7053">
      <w:pPr>
        <w:widowControl w:val="0"/>
        <w:autoSpaceDE w:val="0"/>
        <w:autoSpaceDN w:val="0"/>
        <w:adjustRightInd w:val="0"/>
        <w:spacing w:after="0" w:line="240" w:lineRule="auto"/>
        <w:jc w:val="both"/>
        <w:rPr>
          <w:noProof/>
          <w:rtl/>
        </w:rPr>
      </w:pPr>
      <w:r w:rsidRPr="00E3105A">
        <w:rPr>
          <w:noProof/>
          <w:rtl/>
        </w:rPr>
        <w:t xml:space="preserve">يحتاج تطبيق هذه الطريقة لعينة حثيرات كافية لا تقل عن 25غ، </w:t>
      </w:r>
    </w:p>
    <w:p w14:paraId="06D0E37D" w14:textId="77777777" w:rsidR="0071202A" w:rsidRPr="00E3105A" w:rsidRDefault="0071202A" w:rsidP="008A7053">
      <w:pPr>
        <w:widowControl w:val="0"/>
        <w:autoSpaceDE w:val="0"/>
        <w:autoSpaceDN w:val="0"/>
        <w:adjustRightInd w:val="0"/>
        <w:spacing w:after="0" w:line="240" w:lineRule="auto"/>
        <w:jc w:val="both"/>
        <w:rPr>
          <w:noProof/>
          <w:rtl/>
        </w:rPr>
      </w:pPr>
      <w:r w:rsidRPr="00E3105A">
        <w:rPr>
          <w:noProof/>
          <w:rtl/>
        </w:rPr>
        <w:t xml:space="preserve">ولا تعتبر طريقة منصوح بها بالنسبة لحثيرات المواد الملتصقة أو الزيتية بسبب احتمال سدّ المناخل أو عندما تقلّ أبعاد الأجزاء عن 50 ميكرومتر (الحدّ الأدنى الموصى به من </w:t>
      </w:r>
      <w:r w:rsidRPr="00E3105A">
        <w:rPr>
          <w:noProof/>
        </w:rPr>
        <w:t>ISO</w:t>
      </w:r>
      <w:r w:rsidRPr="00E3105A">
        <w:rPr>
          <w:noProof/>
          <w:rtl/>
          <w:lang w:bidi="ar-SY"/>
        </w:rPr>
        <w:t xml:space="preserve"> 45 ميكرومتر</w:t>
      </w:r>
      <w:r w:rsidRPr="00E3105A">
        <w:rPr>
          <w:noProof/>
          <w:rtl/>
        </w:rPr>
        <w:t xml:space="preserve">). ويذكر الـ </w:t>
      </w:r>
      <w:r w:rsidRPr="00E3105A">
        <w:rPr>
          <w:noProof/>
        </w:rPr>
        <w:t>USP</w:t>
      </w:r>
      <w:r w:rsidRPr="00E3105A">
        <w:rPr>
          <w:noProof/>
          <w:rtl/>
          <w:lang w:bidi="ar-SY"/>
        </w:rPr>
        <w:t xml:space="preserve"> هذه الطريقة تحت اسم </w:t>
      </w:r>
      <w:r w:rsidRPr="00E3105A">
        <w:rPr>
          <w:noProof/>
        </w:rPr>
        <w:t>method I</w:t>
      </w:r>
      <w:r w:rsidRPr="00E3105A">
        <w:rPr>
          <w:noProof/>
          <w:rtl/>
          <w:lang w:bidi="ar-SY"/>
        </w:rPr>
        <w:t xml:space="preserve"> (طريقة النخل الجاف).</w:t>
      </w:r>
    </w:p>
    <w:p w14:paraId="16B3EC68" w14:textId="77777777" w:rsidR="0071202A" w:rsidRPr="00E3105A" w:rsidRDefault="0071202A" w:rsidP="008A7053">
      <w:pPr>
        <w:widowControl w:val="0"/>
        <w:autoSpaceDE w:val="0"/>
        <w:autoSpaceDN w:val="0"/>
        <w:adjustRightInd w:val="0"/>
        <w:spacing w:after="0" w:line="240" w:lineRule="auto"/>
        <w:jc w:val="both"/>
        <w:rPr>
          <w:noProof/>
          <w:rtl/>
          <w:lang w:bidi="ar-SY"/>
        </w:rPr>
      </w:pPr>
      <w:r w:rsidRPr="00E3105A">
        <w:rPr>
          <w:noProof/>
          <w:rtl/>
          <w:lang w:bidi="ar-SY"/>
        </w:rPr>
        <w:t xml:space="preserve">يصنف دستور الأدوية الأميركي </w:t>
      </w:r>
      <w:r w:rsidRPr="00E3105A">
        <w:rPr>
          <w:noProof/>
          <w:lang w:bidi="ar-SY"/>
        </w:rPr>
        <w:t>USP</w:t>
      </w:r>
      <w:r w:rsidRPr="00E3105A">
        <w:rPr>
          <w:noProof/>
          <w:rtl/>
          <w:lang w:bidi="ar-SY"/>
        </w:rPr>
        <w:t xml:space="preserve"> المساحيق إلى: خشنة جداً، خشنة، متوسطة الخشونة، ناعمة وفائقة النعومة وذلك تبعاً لعدد أجزاء المسحوق (نسبة المسحوق) القادرة على المرور عبر مناخل مهتزة بأبعاد فتحات محددة خلال زمن محدد.  </w:t>
      </w:r>
    </w:p>
    <w:p w14:paraId="0F811BE3" w14:textId="77777777" w:rsidR="0071202A" w:rsidRPr="00E3105A" w:rsidRDefault="0071202A" w:rsidP="008A7053">
      <w:pPr>
        <w:widowControl w:val="0"/>
        <w:autoSpaceDE w:val="0"/>
        <w:autoSpaceDN w:val="0"/>
        <w:adjustRightInd w:val="0"/>
        <w:spacing w:after="0" w:line="240" w:lineRule="auto"/>
        <w:jc w:val="both"/>
        <w:rPr>
          <w:noProof/>
          <w:rtl/>
          <w:lang w:bidi="ar-SY"/>
        </w:rPr>
      </w:pPr>
      <w:r w:rsidRPr="00E3105A">
        <w:rPr>
          <w:noProof/>
          <w:rtl/>
          <w:lang w:bidi="ar-SY"/>
        </w:rPr>
        <w:t xml:space="preserve">فمثلاً: ليعتبر مسحوق خشن </w:t>
      </w:r>
      <w:r w:rsidRPr="00E3105A">
        <w:rPr>
          <w:noProof/>
          <w:lang w:bidi="ar-SY"/>
        </w:rPr>
        <w:t>coarse</w:t>
      </w:r>
      <w:r w:rsidRPr="00E3105A">
        <w:rPr>
          <w:noProof/>
          <w:rtl/>
          <w:lang w:bidi="ar-SY"/>
        </w:rPr>
        <w:t xml:space="preserve"> يجب أن تعبر أجزاؤه المنخل رقم14 (ذو الفتحات  1400 ميكرومتر) و ما لايتجاوز40% تعبر المنخل رقم45 (ذو الفتحات355 ميكرومتر).</w:t>
      </w:r>
    </w:p>
    <w:p w14:paraId="67179F97" w14:textId="77777777" w:rsidR="0071202A" w:rsidRDefault="0071202A" w:rsidP="008A7053">
      <w:pPr>
        <w:widowControl w:val="0"/>
        <w:autoSpaceDE w:val="0"/>
        <w:autoSpaceDN w:val="0"/>
        <w:adjustRightInd w:val="0"/>
        <w:spacing w:after="0" w:line="240" w:lineRule="auto"/>
        <w:jc w:val="both"/>
        <w:rPr>
          <w:noProof/>
          <w:rtl/>
          <w:lang w:bidi="ar-SY"/>
        </w:rPr>
      </w:pPr>
      <w:r w:rsidRPr="00E3105A">
        <w:rPr>
          <w:noProof/>
          <w:rtl/>
          <w:lang w:bidi="ar-SY"/>
        </w:rPr>
        <w:t xml:space="preserve">وليعتبر مسحوق ناعم </w:t>
      </w:r>
      <w:r w:rsidRPr="00E3105A">
        <w:rPr>
          <w:noProof/>
          <w:lang w:bidi="ar-SY"/>
        </w:rPr>
        <w:t>fine</w:t>
      </w:r>
      <w:r w:rsidRPr="00E3105A">
        <w:rPr>
          <w:noProof/>
          <w:rtl/>
          <w:lang w:bidi="ar-SY"/>
        </w:rPr>
        <w:t xml:space="preserve"> يجب أن تعبر أجزاؤه المنخل رقم80 (ذو الفتحات 180ميكرومتر) ما لايتجاوز40% تعبر المنخل رقم120 (ذو الفتحات125 ميكرومتر).</w:t>
      </w:r>
    </w:p>
    <w:p w14:paraId="6699C42E" w14:textId="77777777" w:rsidR="00E3105A" w:rsidRDefault="00E3105A" w:rsidP="008A7053">
      <w:pPr>
        <w:widowControl w:val="0"/>
        <w:autoSpaceDE w:val="0"/>
        <w:autoSpaceDN w:val="0"/>
        <w:adjustRightInd w:val="0"/>
        <w:spacing w:after="0" w:line="240" w:lineRule="auto"/>
        <w:jc w:val="both"/>
        <w:rPr>
          <w:noProof/>
          <w:rtl/>
          <w:lang w:bidi="ar-SY"/>
        </w:rPr>
      </w:pPr>
    </w:p>
    <w:p w14:paraId="30F67121" w14:textId="77777777" w:rsidR="00E3105A" w:rsidRPr="00E3105A" w:rsidRDefault="00E3105A" w:rsidP="008A7053">
      <w:pPr>
        <w:widowControl w:val="0"/>
        <w:autoSpaceDE w:val="0"/>
        <w:autoSpaceDN w:val="0"/>
        <w:adjustRightInd w:val="0"/>
        <w:spacing w:after="0" w:line="240" w:lineRule="auto"/>
        <w:jc w:val="both"/>
        <w:rPr>
          <w:noProof/>
          <w:rtl/>
          <w:lang w:bidi="ar-SY"/>
        </w:rPr>
      </w:pPr>
    </w:p>
    <w:p w14:paraId="105252AD" w14:textId="77777777" w:rsidR="0071202A" w:rsidRPr="00E3105A" w:rsidRDefault="0071202A" w:rsidP="008A7053">
      <w:pPr>
        <w:widowControl w:val="0"/>
        <w:autoSpaceDE w:val="0"/>
        <w:autoSpaceDN w:val="0"/>
        <w:adjustRightInd w:val="0"/>
        <w:spacing w:after="0" w:line="240" w:lineRule="auto"/>
        <w:jc w:val="both"/>
        <w:rPr>
          <w:color w:val="FF0000"/>
          <w:lang w:bidi="ar-SY"/>
        </w:rPr>
      </w:pPr>
    </w:p>
    <w:tbl>
      <w:tblPr>
        <w:tblStyle w:val="TableGrid"/>
        <w:bidiVisual/>
        <w:tblW w:w="9815" w:type="dxa"/>
        <w:jc w:val="center"/>
        <w:tblLayout w:type="fixed"/>
        <w:tblLook w:val="04A0" w:firstRow="1" w:lastRow="0" w:firstColumn="1" w:lastColumn="0" w:noHBand="0" w:noVBand="1"/>
      </w:tblPr>
      <w:tblGrid>
        <w:gridCol w:w="1335"/>
        <w:gridCol w:w="1492"/>
        <w:gridCol w:w="1492"/>
        <w:gridCol w:w="1335"/>
        <w:gridCol w:w="1335"/>
        <w:gridCol w:w="1256"/>
        <w:gridCol w:w="785"/>
        <w:gridCol w:w="785"/>
      </w:tblGrid>
      <w:tr w:rsidR="0071202A" w:rsidRPr="0071202A" w14:paraId="47E8608F" w14:textId="77777777" w:rsidTr="00C1485E">
        <w:trPr>
          <w:trHeight w:val="1934"/>
          <w:jc w:val="center"/>
        </w:trPr>
        <w:tc>
          <w:tcPr>
            <w:tcW w:w="1335" w:type="dxa"/>
          </w:tcPr>
          <w:p w14:paraId="413A8320"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النسبة المئوية التراكمية للحثيرات التي تجتاز المنخل%</w:t>
            </w:r>
          </w:p>
          <w:p w14:paraId="7CC53904" w14:textId="77777777" w:rsidR="0071202A" w:rsidRPr="0071202A" w:rsidRDefault="0071202A" w:rsidP="008A7053">
            <w:pPr>
              <w:widowControl w:val="0"/>
              <w:autoSpaceDE w:val="0"/>
              <w:autoSpaceDN w:val="0"/>
              <w:adjustRightInd w:val="0"/>
              <w:jc w:val="both"/>
              <w:rPr>
                <w:noProof/>
                <w:lang w:bidi="ar-SY"/>
              </w:rPr>
            </w:pPr>
            <w:r w:rsidRPr="0071202A">
              <w:rPr>
                <w:noProof/>
                <w:lang w:bidi="ar-SY"/>
              </w:rPr>
              <w:t>F</w:t>
            </w:r>
          </w:p>
        </w:tc>
        <w:tc>
          <w:tcPr>
            <w:tcW w:w="1492" w:type="dxa"/>
          </w:tcPr>
          <w:p w14:paraId="352938DA"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النسبة المئوية التراكمية للحثيرات المحتجزة على منخل %</w:t>
            </w:r>
          </w:p>
          <w:p w14:paraId="0976DA57"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E</w:t>
            </w:r>
          </w:p>
        </w:tc>
        <w:tc>
          <w:tcPr>
            <w:tcW w:w="1492" w:type="dxa"/>
          </w:tcPr>
          <w:p w14:paraId="2FA2F899"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النسبة المئوية لكمية الحثيرات المحتجزة%</w:t>
            </w:r>
          </w:p>
          <w:p w14:paraId="1A27D9E1"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D</w:t>
            </w:r>
          </w:p>
        </w:tc>
        <w:tc>
          <w:tcPr>
            <w:tcW w:w="1335" w:type="dxa"/>
          </w:tcPr>
          <w:p w14:paraId="05DE4D7B"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 xml:space="preserve">وزن الحثيرات المحتجزة </w:t>
            </w:r>
            <w:r w:rsidRPr="0071202A">
              <w:rPr>
                <w:noProof/>
                <w:lang w:bidi="ar-SY"/>
              </w:rPr>
              <w:t>g</w:t>
            </w:r>
          </w:p>
          <w:p w14:paraId="3C4F18C3"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 xml:space="preserve">w </w:t>
            </w:r>
          </w:p>
        </w:tc>
        <w:tc>
          <w:tcPr>
            <w:tcW w:w="1335" w:type="dxa"/>
          </w:tcPr>
          <w:p w14:paraId="4175C9B4"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 xml:space="preserve">وزن المنخل مع الحثيرات </w:t>
            </w:r>
            <w:r w:rsidRPr="0071202A">
              <w:rPr>
                <w:noProof/>
                <w:lang w:bidi="ar-SY"/>
              </w:rPr>
              <w:t>g</w:t>
            </w:r>
          </w:p>
          <w:p w14:paraId="5EC7E890" w14:textId="77777777" w:rsidR="0071202A" w:rsidRPr="0071202A" w:rsidRDefault="0071202A" w:rsidP="008A7053">
            <w:pPr>
              <w:widowControl w:val="0"/>
              <w:autoSpaceDE w:val="0"/>
              <w:autoSpaceDN w:val="0"/>
              <w:adjustRightInd w:val="0"/>
              <w:jc w:val="both"/>
              <w:rPr>
                <w:noProof/>
                <w:lang w:bidi="ar-SY"/>
              </w:rPr>
            </w:pPr>
            <w:r w:rsidRPr="0071202A">
              <w:rPr>
                <w:noProof/>
                <w:lang w:bidi="ar-SY"/>
              </w:rPr>
              <w:t>B</w:t>
            </w:r>
          </w:p>
        </w:tc>
        <w:tc>
          <w:tcPr>
            <w:tcW w:w="1256" w:type="dxa"/>
          </w:tcPr>
          <w:p w14:paraId="3631C4EA"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 xml:space="preserve">وزن المنخل الفارغ </w:t>
            </w:r>
            <w:r w:rsidRPr="0071202A">
              <w:rPr>
                <w:noProof/>
                <w:lang w:bidi="ar-SY"/>
              </w:rPr>
              <w:t>g</w:t>
            </w:r>
          </w:p>
          <w:p w14:paraId="2E5C0E5D"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A</w:t>
            </w:r>
          </w:p>
        </w:tc>
        <w:tc>
          <w:tcPr>
            <w:tcW w:w="785" w:type="dxa"/>
          </w:tcPr>
          <w:p w14:paraId="1C9FD8F5"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بعد فتحة المنخل</w:t>
            </w:r>
          </w:p>
          <w:p w14:paraId="3B52FA4F"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mm</w:t>
            </w:r>
          </w:p>
          <w:p w14:paraId="7959713A" w14:textId="77777777" w:rsidR="0071202A" w:rsidRPr="0071202A" w:rsidRDefault="0071202A" w:rsidP="008A7053">
            <w:pPr>
              <w:widowControl w:val="0"/>
              <w:autoSpaceDE w:val="0"/>
              <w:autoSpaceDN w:val="0"/>
              <w:adjustRightInd w:val="0"/>
              <w:jc w:val="both"/>
              <w:rPr>
                <w:noProof/>
                <w:rtl/>
                <w:lang w:bidi="ar-SY"/>
              </w:rPr>
            </w:pPr>
          </w:p>
        </w:tc>
        <w:tc>
          <w:tcPr>
            <w:tcW w:w="785" w:type="dxa"/>
          </w:tcPr>
          <w:p w14:paraId="7759B7AD" w14:textId="77777777" w:rsidR="0071202A" w:rsidRPr="0071202A" w:rsidRDefault="0071202A" w:rsidP="008A7053">
            <w:pPr>
              <w:widowControl w:val="0"/>
              <w:autoSpaceDE w:val="0"/>
              <w:autoSpaceDN w:val="0"/>
              <w:adjustRightInd w:val="0"/>
              <w:jc w:val="both"/>
              <w:rPr>
                <w:noProof/>
                <w:rtl/>
                <w:lang w:bidi="ar-SY"/>
              </w:rPr>
            </w:pPr>
            <w:r w:rsidRPr="0071202A">
              <w:rPr>
                <w:noProof/>
                <w:rtl/>
                <w:lang w:bidi="ar-SY"/>
              </w:rPr>
              <w:t>رقم المنخل</w:t>
            </w:r>
          </w:p>
        </w:tc>
      </w:tr>
      <w:tr w:rsidR="0071202A" w:rsidRPr="0071202A" w14:paraId="4630E148" w14:textId="77777777" w:rsidTr="00C1485E">
        <w:trPr>
          <w:trHeight w:val="690"/>
          <w:jc w:val="center"/>
        </w:trPr>
        <w:tc>
          <w:tcPr>
            <w:tcW w:w="1335" w:type="dxa"/>
          </w:tcPr>
          <w:p w14:paraId="38CD1967"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F= 100 – E</w:t>
            </w:r>
          </w:p>
        </w:tc>
        <w:tc>
          <w:tcPr>
            <w:tcW w:w="1492" w:type="dxa"/>
          </w:tcPr>
          <w:p w14:paraId="2F545AE3"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E= D</w:t>
            </w:r>
            <w:r w:rsidRPr="0071202A">
              <w:rPr>
                <w:noProof/>
                <w:vertAlign w:val="subscript"/>
                <w:lang w:bidi="ar-SY"/>
              </w:rPr>
              <w:t>n</w:t>
            </w:r>
            <w:r w:rsidRPr="0071202A">
              <w:rPr>
                <w:noProof/>
                <w:lang w:bidi="ar-SY"/>
              </w:rPr>
              <w:t xml:space="preserve"> + D</w:t>
            </w:r>
            <w:r w:rsidRPr="0071202A">
              <w:rPr>
                <w:noProof/>
                <w:vertAlign w:val="subscript"/>
                <w:lang w:bidi="ar-SY"/>
              </w:rPr>
              <w:t>n-1</w:t>
            </w:r>
          </w:p>
        </w:tc>
        <w:tc>
          <w:tcPr>
            <w:tcW w:w="1492" w:type="dxa"/>
          </w:tcPr>
          <w:p w14:paraId="522F8178" w14:textId="77777777" w:rsidR="0071202A" w:rsidRPr="0071202A" w:rsidRDefault="008A7053" w:rsidP="008A7053">
            <w:pPr>
              <w:widowControl w:val="0"/>
              <w:autoSpaceDE w:val="0"/>
              <w:autoSpaceDN w:val="0"/>
              <w:adjustRightInd w:val="0"/>
              <w:jc w:val="both"/>
              <w:rPr>
                <w:noProof/>
                <w:rtl/>
                <w:lang w:bidi="ar-SY"/>
              </w:rPr>
            </w:pPr>
            <m:oMath>
              <m:f>
                <m:fPr>
                  <m:ctrlPr>
                    <w:rPr>
                      <w:rFonts w:ascii="Cambria Math" w:hAnsi="Cambria Math"/>
                      <w:noProof/>
                      <w:lang w:bidi="ar-SY"/>
                    </w:rPr>
                  </m:ctrlPr>
                </m:fPr>
                <m:num>
                  <m:r>
                    <m:rPr>
                      <m:sty m:val="bi"/>
                    </m:rPr>
                    <w:rPr>
                      <w:rFonts w:ascii="Cambria Math" w:hAnsi="Cambria Math"/>
                      <w:noProof/>
                      <w:lang w:bidi="ar-SY"/>
                    </w:rPr>
                    <m:t>wi</m:t>
                  </m:r>
                </m:num>
                <m:den>
                  <m:r>
                    <m:rPr>
                      <m:sty m:val="bi"/>
                    </m:rPr>
                    <w:rPr>
                      <w:rFonts w:ascii="Cambria Math" w:hAnsi="Cambria Math"/>
                      <w:noProof/>
                      <w:lang w:bidi="ar-SY"/>
                    </w:rPr>
                    <m:t>W</m:t>
                  </m:r>
                </m:den>
              </m:f>
            </m:oMath>
            <w:r w:rsidR="0071202A" w:rsidRPr="0071202A">
              <w:rPr>
                <w:noProof/>
                <w:rtl/>
                <w:lang w:bidi="ar-SY"/>
              </w:rPr>
              <w:t xml:space="preserve">  * 100</w:t>
            </w:r>
            <w:r w:rsidR="0071202A" w:rsidRPr="0071202A">
              <w:rPr>
                <w:noProof/>
                <w:lang w:bidi="ar-SY"/>
              </w:rPr>
              <w:t>Di=</w:t>
            </w:r>
          </w:p>
        </w:tc>
        <w:tc>
          <w:tcPr>
            <w:tcW w:w="1335" w:type="dxa"/>
          </w:tcPr>
          <w:p w14:paraId="0386AB9E"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Wi= Ai-Bi</w:t>
            </w:r>
          </w:p>
        </w:tc>
        <w:tc>
          <w:tcPr>
            <w:tcW w:w="1335" w:type="dxa"/>
          </w:tcPr>
          <w:p w14:paraId="607289C3"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Bi</w:t>
            </w:r>
          </w:p>
        </w:tc>
        <w:tc>
          <w:tcPr>
            <w:tcW w:w="1256" w:type="dxa"/>
          </w:tcPr>
          <w:p w14:paraId="251BF4FA" w14:textId="77777777" w:rsidR="0071202A" w:rsidRPr="0071202A" w:rsidRDefault="0071202A" w:rsidP="008A7053">
            <w:pPr>
              <w:widowControl w:val="0"/>
              <w:autoSpaceDE w:val="0"/>
              <w:autoSpaceDN w:val="0"/>
              <w:adjustRightInd w:val="0"/>
              <w:jc w:val="both"/>
              <w:rPr>
                <w:noProof/>
                <w:rtl/>
                <w:lang w:bidi="ar-SY"/>
              </w:rPr>
            </w:pPr>
            <w:r w:rsidRPr="0071202A">
              <w:rPr>
                <w:noProof/>
                <w:lang w:bidi="ar-SY"/>
              </w:rPr>
              <w:t>Ai</w:t>
            </w:r>
          </w:p>
        </w:tc>
        <w:tc>
          <w:tcPr>
            <w:tcW w:w="785" w:type="dxa"/>
          </w:tcPr>
          <w:p w14:paraId="3C91ED51" w14:textId="77777777" w:rsidR="0071202A" w:rsidRPr="0071202A" w:rsidRDefault="0071202A" w:rsidP="008A7053">
            <w:pPr>
              <w:widowControl w:val="0"/>
              <w:autoSpaceDE w:val="0"/>
              <w:autoSpaceDN w:val="0"/>
              <w:adjustRightInd w:val="0"/>
              <w:jc w:val="both"/>
              <w:rPr>
                <w:noProof/>
                <w:rtl/>
                <w:lang w:bidi="ar-SY"/>
              </w:rPr>
            </w:pPr>
          </w:p>
        </w:tc>
        <w:tc>
          <w:tcPr>
            <w:tcW w:w="785" w:type="dxa"/>
          </w:tcPr>
          <w:p w14:paraId="454A15BE" w14:textId="77777777" w:rsidR="0071202A" w:rsidRPr="0071202A" w:rsidRDefault="0071202A" w:rsidP="008A7053">
            <w:pPr>
              <w:widowControl w:val="0"/>
              <w:autoSpaceDE w:val="0"/>
              <w:autoSpaceDN w:val="0"/>
              <w:adjustRightInd w:val="0"/>
              <w:jc w:val="both"/>
              <w:rPr>
                <w:noProof/>
                <w:rtl/>
                <w:lang w:bidi="ar-SY"/>
              </w:rPr>
            </w:pPr>
          </w:p>
        </w:tc>
      </w:tr>
    </w:tbl>
    <w:p w14:paraId="5C3F5707" w14:textId="77777777" w:rsidR="0071202A" w:rsidRPr="0071202A" w:rsidRDefault="0071202A" w:rsidP="008A7053">
      <w:pPr>
        <w:widowControl w:val="0"/>
        <w:autoSpaceDE w:val="0"/>
        <w:autoSpaceDN w:val="0"/>
        <w:adjustRightInd w:val="0"/>
        <w:spacing w:after="0" w:line="240" w:lineRule="auto"/>
        <w:jc w:val="both"/>
        <w:rPr>
          <w:noProof/>
          <w:rtl/>
          <w:lang w:bidi="ar-SY"/>
        </w:rPr>
      </w:pPr>
      <w:r w:rsidRPr="0071202A">
        <w:rPr>
          <w:noProof/>
          <w:rtl/>
          <w:lang w:bidi="ar-SY"/>
        </w:rPr>
        <w:lastRenderedPageBreak/>
        <w:t xml:space="preserve">تمثل </w:t>
      </w:r>
      <w:r w:rsidRPr="0071202A">
        <w:rPr>
          <w:b/>
          <w:bCs/>
          <w:noProof/>
          <w:rtl/>
          <w:lang w:bidi="ar-SY"/>
        </w:rPr>
        <w:t xml:space="preserve">النسبة التراكمية المحتجزة </w:t>
      </w:r>
      <w:r w:rsidRPr="0071202A">
        <w:rPr>
          <w:b/>
          <w:bCs/>
          <w:noProof/>
        </w:rPr>
        <w:t>E</w:t>
      </w:r>
      <w:r w:rsidRPr="0071202A">
        <w:rPr>
          <w:b/>
          <w:bCs/>
          <w:noProof/>
          <w:rtl/>
          <w:lang w:bidi="ar-SY"/>
        </w:rPr>
        <w:t>:</w:t>
      </w:r>
      <w:r w:rsidRPr="0071202A">
        <w:rPr>
          <w:noProof/>
          <w:rtl/>
          <w:lang w:bidi="ar-SY"/>
        </w:rPr>
        <w:t xml:space="preserve"> نسبة الحثيرات الأخشن من منخل محدد (غير القادرة على عبور منخل محدد) </w:t>
      </w:r>
      <w:r w:rsidRPr="0071202A">
        <w:rPr>
          <w:b/>
          <w:bCs/>
          <w:noProof/>
          <w:rtl/>
          <w:lang w:bidi="ar-SY"/>
        </w:rPr>
        <w:t xml:space="preserve">النسبة التراكمية للحثيرات الأنعم </w:t>
      </w:r>
      <w:r w:rsidRPr="0071202A">
        <w:rPr>
          <w:b/>
          <w:bCs/>
          <w:noProof/>
          <w:lang w:bidi="ar-SY"/>
        </w:rPr>
        <w:t>F</w:t>
      </w:r>
      <w:r w:rsidRPr="0071202A">
        <w:rPr>
          <w:noProof/>
          <w:rtl/>
          <w:lang w:bidi="ar-SY"/>
        </w:rPr>
        <w:t xml:space="preserve"> : نسبة الحثيرات الأنعم من منخل محدد (القادرة على عبور فتحات منخل محدد)</w:t>
      </w:r>
    </w:p>
    <w:tbl>
      <w:tblPr>
        <w:tblStyle w:val="TableGrid"/>
        <w:bidiVisual/>
        <w:tblW w:w="9781" w:type="dxa"/>
        <w:tblInd w:w="-368" w:type="dxa"/>
        <w:tblLook w:val="04A0" w:firstRow="1" w:lastRow="0" w:firstColumn="1" w:lastColumn="0" w:noHBand="0" w:noVBand="1"/>
      </w:tblPr>
      <w:tblGrid>
        <w:gridCol w:w="3139"/>
        <w:gridCol w:w="1606"/>
        <w:gridCol w:w="1518"/>
        <w:gridCol w:w="2872"/>
        <w:gridCol w:w="646"/>
      </w:tblGrid>
      <w:tr w:rsidR="0071202A" w:rsidRPr="00EB21B5" w14:paraId="7770E48A" w14:textId="77777777" w:rsidTr="00E3105A">
        <w:trPr>
          <w:trHeight w:val="1569"/>
        </w:trPr>
        <w:tc>
          <w:tcPr>
            <w:tcW w:w="3180" w:type="dxa"/>
          </w:tcPr>
          <w:p w14:paraId="04FA9983" w14:textId="77777777" w:rsidR="0071202A" w:rsidRPr="00EB21B5" w:rsidRDefault="0071202A" w:rsidP="008A7053">
            <w:pPr>
              <w:widowControl w:val="0"/>
              <w:autoSpaceDE w:val="0"/>
              <w:autoSpaceDN w:val="0"/>
              <w:adjustRightInd w:val="0"/>
              <w:jc w:val="both"/>
              <w:rPr>
                <w:rtl/>
                <w:lang w:bidi="ar-SY"/>
              </w:rPr>
            </w:pPr>
            <w:r w:rsidRPr="00EB21B5">
              <w:rPr>
                <w:rtl/>
              </w:rPr>
              <w:t xml:space="preserve">النسبة المحتجزة * </w:t>
            </w:r>
            <w:r w:rsidRPr="00EB21B5">
              <w:rPr>
                <w:rtl/>
                <w:lang w:bidi="ar-SY"/>
              </w:rPr>
              <w:t>متوسط بعد فتحة المنخل</w:t>
            </w:r>
          </w:p>
          <w:p w14:paraId="1CDFF4A2" w14:textId="77777777" w:rsidR="0071202A" w:rsidRPr="00EB21B5" w:rsidRDefault="0071202A" w:rsidP="008A7053">
            <w:pPr>
              <w:widowControl w:val="0"/>
              <w:autoSpaceDE w:val="0"/>
              <w:autoSpaceDN w:val="0"/>
              <w:adjustRightInd w:val="0"/>
              <w:jc w:val="both"/>
              <w:rPr>
                <w:rtl/>
              </w:rPr>
            </w:pPr>
            <w:r w:rsidRPr="00EB21B5">
              <w:rPr>
                <w:rtl/>
                <w:lang w:bidi="ar-SY"/>
              </w:rPr>
              <w:t xml:space="preserve"> </w:t>
            </w:r>
            <w:proofErr w:type="spellStart"/>
            <w:r w:rsidRPr="00EB21B5">
              <w:t>nd</w:t>
            </w:r>
            <w:proofErr w:type="spellEnd"/>
          </w:p>
          <w:p w14:paraId="56B8AD9D" w14:textId="77777777" w:rsidR="0071202A" w:rsidRPr="00EB21B5" w:rsidRDefault="0071202A" w:rsidP="008A7053">
            <w:pPr>
              <w:widowControl w:val="0"/>
              <w:autoSpaceDE w:val="0"/>
              <w:autoSpaceDN w:val="0"/>
              <w:adjustRightInd w:val="0"/>
              <w:jc w:val="both"/>
              <w:rPr>
                <w:rtl/>
              </w:rPr>
            </w:pPr>
          </w:p>
        </w:tc>
        <w:tc>
          <w:tcPr>
            <w:tcW w:w="1620" w:type="dxa"/>
          </w:tcPr>
          <w:p w14:paraId="05E933CF" w14:textId="77777777" w:rsidR="0071202A" w:rsidRPr="00EB21B5" w:rsidRDefault="0071202A" w:rsidP="008A7053">
            <w:pPr>
              <w:widowControl w:val="0"/>
              <w:autoSpaceDE w:val="0"/>
              <w:autoSpaceDN w:val="0"/>
              <w:adjustRightInd w:val="0"/>
              <w:jc w:val="both"/>
              <w:rPr>
                <w:rtl/>
                <w:lang w:bidi="ar-SY"/>
              </w:rPr>
            </w:pPr>
            <w:r w:rsidRPr="00EB21B5">
              <w:rPr>
                <w:rtl/>
                <w:lang w:bidi="ar-SY"/>
              </w:rPr>
              <w:t xml:space="preserve">النسبة المئوية للحثيرات المحتجزة </w:t>
            </w:r>
            <w:r w:rsidRPr="00EB21B5">
              <w:t>n</w:t>
            </w:r>
            <w:r w:rsidRPr="00EB21B5">
              <w:rPr>
                <w:rtl/>
                <w:lang w:bidi="ar-SY"/>
              </w:rPr>
              <w:t xml:space="preserve"> %</w:t>
            </w:r>
          </w:p>
          <w:p w14:paraId="5E754285" w14:textId="3E327628" w:rsidR="0071202A" w:rsidRPr="00EB21B5" w:rsidRDefault="008A7053" w:rsidP="008A7053">
            <w:pPr>
              <w:widowControl w:val="0"/>
              <w:autoSpaceDE w:val="0"/>
              <w:autoSpaceDN w:val="0"/>
              <w:adjustRightInd w:val="0"/>
              <w:jc w:val="both"/>
              <w:rPr>
                <w:rtl/>
                <w:lang w:bidi="ar-SY"/>
              </w:rPr>
            </w:pPr>
            <m:oMath>
              <m:f>
                <m:fPr>
                  <m:ctrlPr>
                    <w:rPr>
                      <w:rFonts w:ascii="Cambria Math" w:hAnsi="Cambria Math"/>
                      <w:lang w:bidi="ar-SY"/>
                    </w:rPr>
                  </m:ctrlPr>
                </m:fPr>
                <m:num>
                  <m:r>
                    <w:rPr>
                      <w:rFonts w:ascii="Cambria Math" w:hAnsi="Cambria Math"/>
                      <w:lang w:bidi="ar-SY"/>
                    </w:rPr>
                    <m:t>wi</m:t>
                  </m:r>
                </m:num>
                <m:den>
                  <m:r>
                    <w:rPr>
                      <w:rFonts w:ascii="Cambria Math" w:hAnsi="Cambria Math"/>
                      <w:lang w:bidi="ar-SY"/>
                    </w:rPr>
                    <m:t>W</m:t>
                  </m:r>
                </m:den>
              </m:f>
            </m:oMath>
            <w:r w:rsidR="0071202A" w:rsidRPr="00EB21B5">
              <w:rPr>
                <w:rtl/>
                <w:lang w:bidi="ar-SY"/>
              </w:rPr>
              <w:t xml:space="preserve">  * 100</w:t>
            </w:r>
            <w:proofErr w:type="spellStart"/>
            <w:r w:rsidR="0071202A" w:rsidRPr="00EB21B5">
              <w:t>n</w:t>
            </w:r>
            <w:r w:rsidR="0071202A" w:rsidRPr="00EB21B5">
              <w:rPr>
                <w:vertAlign w:val="subscript"/>
              </w:rPr>
              <w:t>i</w:t>
            </w:r>
            <w:proofErr w:type="spellEnd"/>
            <w:r w:rsidR="0071202A" w:rsidRPr="00EB21B5">
              <w:t xml:space="preserve"> =</w:t>
            </w:r>
          </w:p>
        </w:tc>
        <w:tc>
          <w:tcPr>
            <w:tcW w:w="1530" w:type="dxa"/>
          </w:tcPr>
          <w:p w14:paraId="5385DC9B" w14:textId="77777777" w:rsidR="0071202A" w:rsidRPr="00EB21B5" w:rsidRDefault="0071202A" w:rsidP="008A7053">
            <w:pPr>
              <w:widowControl w:val="0"/>
              <w:autoSpaceDE w:val="0"/>
              <w:autoSpaceDN w:val="0"/>
              <w:adjustRightInd w:val="0"/>
              <w:jc w:val="both"/>
              <w:rPr>
                <w:rtl/>
                <w:lang w:bidi="ar-SY"/>
              </w:rPr>
            </w:pPr>
            <w:r w:rsidRPr="00EB21B5">
              <w:rPr>
                <w:rtl/>
                <w:lang w:bidi="ar-SY"/>
              </w:rPr>
              <w:t xml:space="preserve">وزن الحثيرات المحتجز </w:t>
            </w:r>
            <w:r w:rsidRPr="00EB21B5">
              <w:rPr>
                <w:lang w:bidi="ar-SY"/>
              </w:rPr>
              <w:t>g</w:t>
            </w:r>
          </w:p>
          <w:p w14:paraId="516CFC8D" w14:textId="77777777" w:rsidR="0071202A" w:rsidRPr="00EB21B5" w:rsidRDefault="0071202A" w:rsidP="008A7053">
            <w:pPr>
              <w:widowControl w:val="0"/>
              <w:autoSpaceDE w:val="0"/>
              <w:autoSpaceDN w:val="0"/>
              <w:adjustRightInd w:val="0"/>
              <w:jc w:val="both"/>
              <w:rPr>
                <w:vertAlign w:val="subscript"/>
                <w:rtl/>
                <w:lang w:bidi="ar-SY"/>
              </w:rPr>
            </w:pPr>
            <w:proofErr w:type="spellStart"/>
            <w:r w:rsidRPr="00EB21B5">
              <w:t>w</w:t>
            </w:r>
            <w:r w:rsidRPr="00EB21B5">
              <w:rPr>
                <w:vertAlign w:val="subscript"/>
              </w:rPr>
              <w:t>i</w:t>
            </w:r>
            <w:proofErr w:type="spellEnd"/>
          </w:p>
          <w:p w14:paraId="5D2189AF" w14:textId="77777777" w:rsidR="0071202A" w:rsidRPr="00EB21B5" w:rsidRDefault="0071202A" w:rsidP="008A7053">
            <w:pPr>
              <w:widowControl w:val="0"/>
              <w:autoSpaceDE w:val="0"/>
              <w:autoSpaceDN w:val="0"/>
              <w:adjustRightInd w:val="0"/>
              <w:jc w:val="both"/>
            </w:pPr>
          </w:p>
        </w:tc>
        <w:tc>
          <w:tcPr>
            <w:tcW w:w="2880" w:type="dxa"/>
          </w:tcPr>
          <w:p w14:paraId="6AABDDF5" w14:textId="77777777" w:rsidR="0071202A" w:rsidRPr="00EB21B5" w:rsidRDefault="0071202A" w:rsidP="008A7053">
            <w:pPr>
              <w:widowControl w:val="0"/>
              <w:autoSpaceDE w:val="0"/>
              <w:autoSpaceDN w:val="0"/>
              <w:adjustRightInd w:val="0"/>
              <w:jc w:val="both"/>
              <w:rPr>
                <w:rtl/>
                <w:lang w:bidi="ar-SY"/>
              </w:rPr>
            </w:pPr>
            <w:r w:rsidRPr="00EB21B5">
              <w:rPr>
                <w:rtl/>
                <w:lang w:bidi="ar-SY"/>
              </w:rPr>
              <w:t xml:space="preserve">متوسط بعد فتحة المنخل </w:t>
            </w:r>
            <w:r w:rsidRPr="00EB21B5">
              <w:rPr>
                <w:lang w:bidi="ar-SY"/>
              </w:rPr>
              <w:t xml:space="preserve">mm </w:t>
            </w:r>
          </w:p>
          <w:p w14:paraId="5E6EE29C" w14:textId="77777777" w:rsidR="0071202A" w:rsidRPr="00EB21B5" w:rsidRDefault="0071202A" w:rsidP="008A7053">
            <w:pPr>
              <w:widowControl w:val="0"/>
              <w:autoSpaceDE w:val="0"/>
              <w:autoSpaceDN w:val="0"/>
              <w:adjustRightInd w:val="0"/>
              <w:jc w:val="both"/>
              <w:rPr>
                <w:rtl/>
                <w:lang w:bidi="ar-SY"/>
              </w:rPr>
            </w:pPr>
          </w:p>
          <w:p w14:paraId="5EF85602" w14:textId="48302625" w:rsidR="0071202A" w:rsidRPr="00EB21B5" w:rsidRDefault="0071202A" w:rsidP="008A7053">
            <w:pPr>
              <w:widowControl w:val="0"/>
              <w:autoSpaceDE w:val="0"/>
              <w:autoSpaceDN w:val="0"/>
              <w:adjustRightInd w:val="0"/>
              <w:jc w:val="both"/>
            </w:pPr>
            <w:r w:rsidRPr="00EB21B5">
              <w:rPr>
                <w:lang w:bidi="ar-SY"/>
              </w:rPr>
              <w:t xml:space="preserve"> </w:t>
            </w:r>
            <m:oMath>
              <m:f>
                <m:fPr>
                  <m:ctrlPr>
                    <w:rPr>
                      <w:rFonts w:ascii="Cambria Math" w:hAnsi="Cambria Math"/>
                      <w:lang w:bidi="ar-SY"/>
                    </w:rPr>
                  </m:ctrlPr>
                </m:fPr>
                <m:num>
                  <m:r>
                    <w:rPr>
                      <w:rFonts w:ascii="Cambria Math" w:hAnsi="Cambria Math"/>
                      <w:rtl/>
                      <w:lang w:bidi="ar-SY"/>
                    </w:rPr>
                    <m:t>السابق المنخل فتحة بعد</m:t>
                  </m:r>
                  <m:r>
                    <w:rPr>
                      <w:rFonts w:ascii="Cambria Math" w:hAnsi="Cambria Math"/>
                      <w:lang w:bidi="ar-SY"/>
                    </w:rPr>
                    <m:t>+</m:t>
                  </m:r>
                  <m:r>
                    <w:rPr>
                      <w:rFonts w:ascii="Cambria Math" w:hAnsi="Cambria Math"/>
                      <w:rtl/>
                      <w:lang w:bidi="ar-SY"/>
                    </w:rPr>
                    <m:t>المنخل</m:t>
                  </m:r>
                  <m:r>
                    <w:rPr>
                      <w:rFonts w:ascii="Cambria Math" w:hAnsi="Cambria Math"/>
                      <w:lang w:bidi="ar-SY"/>
                    </w:rPr>
                    <m:t xml:space="preserve"> </m:t>
                  </m:r>
                  <m:r>
                    <w:rPr>
                      <w:rFonts w:ascii="Cambria Math" w:hAnsi="Cambria Math"/>
                      <w:rtl/>
                      <w:lang w:bidi="ar-SY"/>
                    </w:rPr>
                    <m:t>فتحة بعد</m:t>
                  </m:r>
                </m:num>
                <m:den>
                  <m:r>
                    <w:rPr>
                      <w:rFonts w:ascii="Cambria Math" w:hAnsi="Cambria Math"/>
                      <w:lang w:bidi="ar-SY"/>
                    </w:rPr>
                    <m:t>2</m:t>
                  </m:r>
                </m:den>
              </m:f>
            </m:oMath>
            <w:r w:rsidRPr="00EB21B5">
              <w:rPr>
                <w:rtl/>
                <w:lang w:bidi="ar-SY"/>
              </w:rPr>
              <w:t xml:space="preserve">= </w:t>
            </w:r>
            <w:r w:rsidRPr="00EB21B5">
              <w:rPr>
                <w:lang w:bidi="ar-SY"/>
              </w:rPr>
              <w:t>d</w:t>
            </w:r>
            <w:r w:rsidRPr="00EB21B5">
              <w:rPr>
                <w:vertAlign w:val="subscript"/>
                <w:lang w:bidi="ar-SY"/>
              </w:rPr>
              <w:t>i</w:t>
            </w:r>
          </w:p>
        </w:tc>
        <w:tc>
          <w:tcPr>
            <w:tcW w:w="571" w:type="dxa"/>
          </w:tcPr>
          <w:p w14:paraId="780874AC" w14:textId="77777777" w:rsidR="0071202A" w:rsidRPr="00EB21B5" w:rsidRDefault="0071202A" w:rsidP="008A7053">
            <w:pPr>
              <w:widowControl w:val="0"/>
              <w:autoSpaceDE w:val="0"/>
              <w:autoSpaceDN w:val="0"/>
              <w:adjustRightInd w:val="0"/>
              <w:jc w:val="both"/>
              <w:rPr>
                <w:rtl/>
                <w:lang w:bidi="ar-SY"/>
              </w:rPr>
            </w:pPr>
            <w:r w:rsidRPr="00EB21B5">
              <w:rPr>
                <w:rtl/>
                <w:lang w:bidi="ar-SY"/>
              </w:rPr>
              <w:t>المنخل</w:t>
            </w:r>
          </w:p>
        </w:tc>
      </w:tr>
      <w:tr w:rsidR="0071202A" w:rsidRPr="00EB21B5" w14:paraId="245D60EA" w14:textId="77777777" w:rsidTr="00E3105A">
        <w:trPr>
          <w:trHeight w:val="374"/>
        </w:trPr>
        <w:tc>
          <w:tcPr>
            <w:tcW w:w="3180" w:type="dxa"/>
          </w:tcPr>
          <w:p w14:paraId="40FC7E4A" w14:textId="77777777" w:rsidR="0071202A" w:rsidRPr="00EB21B5" w:rsidRDefault="0071202A" w:rsidP="008A7053">
            <w:pPr>
              <w:widowControl w:val="0"/>
              <w:autoSpaceDE w:val="0"/>
              <w:autoSpaceDN w:val="0"/>
              <w:adjustRightInd w:val="0"/>
              <w:jc w:val="both"/>
              <w:rPr>
                <w:vertAlign w:val="subscript"/>
              </w:rPr>
            </w:pPr>
            <w:proofErr w:type="spellStart"/>
            <w:r w:rsidRPr="00EB21B5">
              <w:t>n</w:t>
            </w:r>
            <w:r w:rsidRPr="00EB21B5">
              <w:rPr>
                <w:vertAlign w:val="subscript"/>
              </w:rPr>
              <w:t>i</w:t>
            </w:r>
            <w:proofErr w:type="spellEnd"/>
            <w:r w:rsidRPr="00EB21B5">
              <w:rPr>
                <w:vertAlign w:val="subscript"/>
              </w:rPr>
              <w:t xml:space="preserve"> </w:t>
            </w:r>
            <w:r w:rsidRPr="00EB21B5">
              <w:t>* d</w:t>
            </w:r>
            <w:r w:rsidRPr="00EB21B5">
              <w:rPr>
                <w:vertAlign w:val="subscript"/>
              </w:rPr>
              <w:t>i</w:t>
            </w:r>
          </w:p>
        </w:tc>
        <w:tc>
          <w:tcPr>
            <w:tcW w:w="1620" w:type="dxa"/>
          </w:tcPr>
          <w:p w14:paraId="3185B5F9" w14:textId="77777777" w:rsidR="0071202A" w:rsidRPr="00EB21B5" w:rsidRDefault="0071202A" w:rsidP="008A7053">
            <w:pPr>
              <w:widowControl w:val="0"/>
              <w:autoSpaceDE w:val="0"/>
              <w:autoSpaceDN w:val="0"/>
              <w:adjustRightInd w:val="0"/>
              <w:jc w:val="both"/>
              <w:rPr>
                <w:rtl/>
                <w:lang w:bidi="ar-SY"/>
              </w:rPr>
            </w:pPr>
            <w:proofErr w:type="spellStart"/>
            <w:r w:rsidRPr="00EB21B5">
              <w:t>n</w:t>
            </w:r>
            <w:r w:rsidRPr="00EB21B5">
              <w:rPr>
                <w:vertAlign w:val="subscript"/>
              </w:rPr>
              <w:t>i</w:t>
            </w:r>
            <w:proofErr w:type="spellEnd"/>
          </w:p>
        </w:tc>
        <w:tc>
          <w:tcPr>
            <w:tcW w:w="1530" w:type="dxa"/>
          </w:tcPr>
          <w:p w14:paraId="71A2EA2B" w14:textId="77777777" w:rsidR="0071202A" w:rsidRPr="00EB21B5" w:rsidRDefault="0071202A" w:rsidP="008A7053">
            <w:pPr>
              <w:widowControl w:val="0"/>
              <w:autoSpaceDE w:val="0"/>
              <w:autoSpaceDN w:val="0"/>
              <w:adjustRightInd w:val="0"/>
              <w:jc w:val="both"/>
              <w:rPr>
                <w:vertAlign w:val="subscript"/>
                <w:rtl/>
                <w:lang w:bidi="ar-SY"/>
              </w:rPr>
            </w:pPr>
            <w:proofErr w:type="spellStart"/>
            <w:r w:rsidRPr="00EB21B5">
              <w:t>w</w:t>
            </w:r>
            <w:r w:rsidRPr="00EB21B5">
              <w:rPr>
                <w:vertAlign w:val="subscript"/>
              </w:rPr>
              <w:t>i</w:t>
            </w:r>
            <w:proofErr w:type="spellEnd"/>
          </w:p>
        </w:tc>
        <w:tc>
          <w:tcPr>
            <w:tcW w:w="2880" w:type="dxa"/>
          </w:tcPr>
          <w:p w14:paraId="11FE7639" w14:textId="77777777" w:rsidR="0071202A" w:rsidRPr="00EB21B5" w:rsidRDefault="0071202A" w:rsidP="008A7053">
            <w:pPr>
              <w:widowControl w:val="0"/>
              <w:autoSpaceDE w:val="0"/>
              <w:autoSpaceDN w:val="0"/>
              <w:adjustRightInd w:val="0"/>
              <w:jc w:val="both"/>
              <w:rPr>
                <w:vertAlign w:val="subscript"/>
                <w:rtl/>
                <w:lang w:bidi="ar-SY"/>
              </w:rPr>
            </w:pPr>
            <w:r w:rsidRPr="00EB21B5">
              <w:rPr>
                <w:rtl/>
                <w:lang w:bidi="ar-SY"/>
              </w:rPr>
              <w:t xml:space="preserve"> </w:t>
            </w:r>
            <w:r w:rsidRPr="00EB21B5">
              <w:rPr>
                <w:lang w:bidi="ar-SY"/>
              </w:rPr>
              <w:t>d</w:t>
            </w:r>
            <w:r w:rsidRPr="00EB21B5">
              <w:rPr>
                <w:vertAlign w:val="subscript"/>
                <w:lang w:bidi="ar-SY"/>
              </w:rPr>
              <w:t>i</w:t>
            </w:r>
          </w:p>
        </w:tc>
        <w:tc>
          <w:tcPr>
            <w:tcW w:w="571" w:type="dxa"/>
          </w:tcPr>
          <w:p w14:paraId="6A0A3342" w14:textId="77777777" w:rsidR="0071202A" w:rsidRPr="00EB21B5" w:rsidRDefault="0071202A" w:rsidP="008A7053">
            <w:pPr>
              <w:widowControl w:val="0"/>
              <w:autoSpaceDE w:val="0"/>
              <w:autoSpaceDN w:val="0"/>
              <w:adjustRightInd w:val="0"/>
              <w:jc w:val="both"/>
              <w:rPr>
                <w:rtl/>
                <w:lang w:bidi="ar-SY"/>
              </w:rPr>
            </w:pPr>
          </w:p>
        </w:tc>
      </w:tr>
    </w:tbl>
    <w:p w14:paraId="2D5BC71A" w14:textId="77777777" w:rsidR="0071202A" w:rsidRPr="0071202A" w:rsidRDefault="0071202A" w:rsidP="008A7053">
      <w:pPr>
        <w:widowControl w:val="0"/>
        <w:autoSpaceDE w:val="0"/>
        <w:autoSpaceDN w:val="0"/>
        <w:adjustRightInd w:val="0"/>
        <w:spacing w:after="0" w:line="240" w:lineRule="auto"/>
        <w:jc w:val="both"/>
        <w:rPr>
          <w:rtl/>
          <w:lang w:bidi="ar-SY"/>
        </w:rPr>
      </w:pPr>
    </w:p>
    <w:p w14:paraId="34F1FEF9" w14:textId="77777777" w:rsidR="0071202A" w:rsidRPr="0071202A" w:rsidRDefault="0071202A" w:rsidP="008A7053">
      <w:pPr>
        <w:widowControl w:val="0"/>
        <w:autoSpaceDE w:val="0"/>
        <w:autoSpaceDN w:val="0"/>
        <w:adjustRightInd w:val="0"/>
        <w:spacing w:after="0" w:line="240" w:lineRule="auto"/>
        <w:jc w:val="both"/>
        <w:rPr>
          <w:color w:val="FF0000"/>
          <w:rtl/>
          <w:lang w:bidi="ar-SY"/>
        </w:rPr>
      </w:pPr>
      <w:r w:rsidRPr="0071202A">
        <w:rPr>
          <w:rtl/>
          <w:lang w:bidi="ar-SY"/>
        </w:rPr>
        <w:t>متوسط أبعاد الحثيرات</w:t>
      </w:r>
      <w:proofErr w:type="spellStart"/>
      <w:r w:rsidRPr="0071202A">
        <w:t>d</w:t>
      </w:r>
      <w:r w:rsidRPr="0071202A">
        <w:rPr>
          <w:vertAlign w:val="subscript"/>
        </w:rPr>
        <w:t>av</w:t>
      </w:r>
      <w:proofErr w:type="spellEnd"/>
      <w:r w:rsidRPr="0071202A">
        <w:rPr>
          <w:vertAlign w:val="subscript"/>
          <w:rtl/>
          <w:lang w:bidi="ar-SY"/>
        </w:rPr>
        <w:t xml:space="preserve"> </w:t>
      </w:r>
      <w:r w:rsidRPr="0071202A">
        <w:rPr>
          <w:rtl/>
          <w:lang w:bidi="ar-SY"/>
        </w:rPr>
        <w:t xml:space="preserve"> =     </w:t>
      </w:r>
      <m:oMath>
        <m:f>
          <m:fPr>
            <m:ctrlPr>
              <w:rPr>
                <w:rFonts w:ascii="Cambria Math" w:hAnsi="Cambria Math"/>
                <w:lang w:bidi="ar-SY"/>
              </w:rPr>
            </m:ctrlPr>
          </m:fPr>
          <m:num>
            <m:r>
              <w:rPr>
                <w:rFonts w:ascii="Cambria Math" w:hAnsi="Cambria Math"/>
                <w:lang w:bidi="ar-SY"/>
              </w:rPr>
              <m:t>Σ</m:t>
            </m:r>
            <m:d>
              <m:dPr>
                <m:ctrlPr>
                  <w:rPr>
                    <w:rFonts w:ascii="Cambria Math" w:hAnsi="Cambria Math"/>
                    <w:i/>
                    <w:lang w:bidi="ar-SY"/>
                  </w:rPr>
                </m:ctrlPr>
              </m:dPr>
              <m:e>
                <m:r>
                  <m:rPr>
                    <m:sty m:val="p"/>
                  </m:rPr>
                  <w:rPr>
                    <w:rFonts w:ascii="Cambria Math" w:hAnsi="Cambria Math"/>
                  </w:rPr>
                  <m:t>n</m:t>
                </m:r>
                <m:r>
                  <m:rPr>
                    <m:sty m:val="p"/>
                  </m:rPr>
                  <w:rPr>
                    <w:rFonts w:ascii="Cambria Math" w:hAnsi="Cambria Math"/>
                    <w:vertAlign w:val="subscript"/>
                  </w:rPr>
                  <m:t xml:space="preserve">i </m:t>
                </m:r>
                <m:r>
                  <m:rPr>
                    <m:sty m:val="p"/>
                  </m:rPr>
                  <w:rPr>
                    <w:rFonts w:ascii="Cambria Math" w:hAnsi="Cambria Math"/>
                  </w:rPr>
                  <m:t>* d</m:t>
                </m:r>
                <m:r>
                  <m:rPr>
                    <m:sty m:val="p"/>
                  </m:rPr>
                  <w:rPr>
                    <w:rFonts w:ascii="Cambria Math" w:hAnsi="Cambria Math"/>
                    <w:vertAlign w:val="subscript"/>
                  </w:rPr>
                  <m:t>i</m:t>
                </m:r>
              </m:e>
            </m:d>
          </m:num>
          <m:den>
            <m:r>
              <w:rPr>
                <w:rFonts w:ascii="Cambria Math" w:hAnsi="Cambria Math"/>
                <w:lang w:bidi="ar-SY"/>
              </w:rPr>
              <m:t>100</m:t>
            </m:r>
          </m:den>
        </m:f>
      </m:oMath>
      <w:r w:rsidRPr="0071202A">
        <w:rPr>
          <w:rtl/>
          <w:lang w:bidi="ar-SY"/>
        </w:rPr>
        <w:t xml:space="preserve">   =     </w:t>
      </w:r>
      <m:oMath>
        <m:f>
          <m:fPr>
            <m:ctrlPr>
              <w:rPr>
                <w:rFonts w:ascii="Cambria Math" w:hAnsi="Cambria Math"/>
                <w:lang w:bidi="ar-SY"/>
              </w:rPr>
            </m:ctrlPr>
          </m:fPr>
          <m:num>
            <m:r>
              <w:rPr>
                <w:rFonts w:ascii="Cambria Math" w:hAnsi="Cambria Math"/>
                <w:lang w:bidi="ar-SY"/>
              </w:rPr>
              <m:t>Σ</m:t>
            </m:r>
            <m:d>
              <m:dPr>
                <m:ctrlPr>
                  <w:rPr>
                    <w:rFonts w:ascii="Cambria Math" w:hAnsi="Cambria Math"/>
                    <w:i/>
                    <w:lang w:bidi="ar-SY"/>
                  </w:rPr>
                </m:ctrlPr>
              </m:dPr>
              <m:e>
                <m:r>
                  <m:rPr>
                    <m:sty m:val="p"/>
                  </m:rPr>
                  <w:rPr>
                    <w:rFonts w:ascii="Cambria Math" w:hAnsi="Cambria Math"/>
                    <w:rtl/>
                    <w:lang w:bidi="ar-SY"/>
                  </w:rPr>
                  <m:t>المحتجزة المئوية النسبة</m:t>
                </m:r>
              </m:e>
            </m:d>
            <m:r>
              <w:rPr>
                <w:rFonts w:ascii="Cambria Math" w:hAnsi="Cambria Math"/>
                <w:lang w:bidi="ar-SY"/>
              </w:rPr>
              <m:t>*(</m:t>
            </m:r>
            <m:r>
              <m:rPr>
                <m:sty m:val="p"/>
              </m:rPr>
              <w:rPr>
                <w:rFonts w:ascii="Cambria Math" w:hAnsi="Cambria Math"/>
                <w:rtl/>
                <w:lang w:bidi="ar-SY"/>
              </w:rPr>
              <m:t>المنخل فتحة بعد متوسط</m:t>
            </m:r>
            <m:r>
              <m:rPr>
                <m:sty m:val="p"/>
              </m:rPr>
              <w:rPr>
                <w:rFonts w:ascii="Cambria Math" w:hAnsi="Cambria Math"/>
                <w:lang w:bidi="ar-SY"/>
              </w:rPr>
              <m:t>)</m:t>
            </m:r>
          </m:num>
          <m:den>
            <m:r>
              <w:rPr>
                <w:rFonts w:ascii="Cambria Math" w:hAnsi="Cambria Math"/>
                <w:lang w:bidi="ar-SY"/>
              </w:rPr>
              <m:t>100</m:t>
            </m:r>
          </m:den>
        </m:f>
      </m:oMath>
      <w:r w:rsidRPr="0071202A">
        <w:rPr>
          <w:rtl/>
          <w:lang w:bidi="ar-SY"/>
        </w:rPr>
        <w:t xml:space="preserve">        </w:t>
      </w:r>
    </w:p>
    <w:p w14:paraId="42CF57B8" w14:textId="77777777" w:rsidR="0071202A" w:rsidRPr="0071202A" w:rsidRDefault="0071202A" w:rsidP="008A7053">
      <w:pPr>
        <w:jc w:val="both"/>
      </w:pPr>
    </w:p>
    <w:p w14:paraId="546037C6" w14:textId="4C370B4C" w:rsidR="00AC0DE1" w:rsidRPr="0071202A" w:rsidRDefault="00AC0DE1" w:rsidP="008A7053">
      <w:pPr>
        <w:jc w:val="both"/>
        <w:rPr>
          <w:rtl/>
          <w:lang w:bidi="ar-SY"/>
        </w:rPr>
      </w:pPr>
    </w:p>
    <w:p w14:paraId="195BA46F" w14:textId="77777777" w:rsidR="00AC0DE1" w:rsidRPr="0071202A" w:rsidRDefault="00AC0DE1" w:rsidP="008A7053">
      <w:pPr>
        <w:jc w:val="both"/>
      </w:pPr>
    </w:p>
    <w:sectPr w:rsidR="00AC0DE1" w:rsidRPr="0071202A" w:rsidSect="009C0A33">
      <w:headerReference w:type="default" r:id="rId13"/>
      <w:footerReference w:type="default" r:id="rId14"/>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D2FF" w14:textId="77777777" w:rsidR="001A20C7" w:rsidRDefault="001A20C7" w:rsidP="00D05624">
      <w:r>
        <w:separator/>
      </w:r>
    </w:p>
  </w:endnote>
  <w:endnote w:type="continuationSeparator" w:id="0">
    <w:p w14:paraId="2232A5EC" w14:textId="77777777" w:rsidR="001A20C7" w:rsidRDefault="001A20C7"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15FE" w14:textId="77777777" w:rsidR="001A20C7" w:rsidRDefault="001A20C7" w:rsidP="00D05624">
      <w:r>
        <w:separator/>
      </w:r>
    </w:p>
  </w:footnote>
  <w:footnote w:type="continuationSeparator" w:id="0">
    <w:p w14:paraId="09566D09" w14:textId="77777777" w:rsidR="001A20C7" w:rsidRDefault="001A20C7"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8A705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r w:rsidRPr="005B4EF4">
      <w:rPr>
        <w:rFonts w:hint="cs"/>
        <w:sz w:val="28"/>
        <w:szCs w:val="28"/>
        <w:rtl/>
      </w:rPr>
      <w:t>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2D6"/>
    <w:multiLevelType w:val="hybridMultilevel"/>
    <w:tmpl w:val="4C3888DC"/>
    <w:lvl w:ilvl="0" w:tplc="A18A9778">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7062"/>
    <w:multiLevelType w:val="hybridMultilevel"/>
    <w:tmpl w:val="C41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4C4AED"/>
    <w:multiLevelType w:val="hybridMultilevel"/>
    <w:tmpl w:val="397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23F35"/>
    <w:multiLevelType w:val="hybridMultilevel"/>
    <w:tmpl w:val="4D74E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928E6"/>
    <w:multiLevelType w:val="hybridMultilevel"/>
    <w:tmpl w:val="92BA7C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701514BD"/>
    <w:multiLevelType w:val="hybridMultilevel"/>
    <w:tmpl w:val="890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2"/>
  </w:num>
  <w:num w:numId="2" w16cid:durableId="644093518">
    <w:abstractNumId w:val="7"/>
  </w:num>
  <w:num w:numId="3" w16cid:durableId="686252515">
    <w:abstractNumId w:val="4"/>
  </w:num>
  <w:num w:numId="4" w16cid:durableId="266042125">
    <w:abstractNumId w:val="5"/>
  </w:num>
  <w:num w:numId="5" w16cid:durableId="1741445323">
    <w:abstractNumId w:val="6"/>
  </w:num>
  <w:num w:numId="6" w16cid:durableId="522207309">
    <w:abstractNumId w:val="3"/>
  </w:num>
  <w:num w:numId="7" w16cid:durableId="2102018930">
    <w:abstractNumId w:val="1"/>
  </w:num>
  <w:num w:numId="8" w16cid:durableId="128203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1A20C7"/>
    <w:rsid w:val="00300C7F"/>
    <w:rsid w:val="003E1627"/>
    <w:rsid w:val="00446A4B"/>
    <w:rsid w:val="0049227E"/>
    <w:rsid w:val="005B4EF4"/>
    <w:rsid w:val="005F696B"/>
    <w:rsid w:val="00664A51"/>
    <w:rsid w:val="006E55D8"/>
    <w:rsid w:val="00701B29"/>
    <w:rsid w:val="0071202A"/>
    <w:rsid w:val="00727C27"/>
    <w:rsid w:val="0083168D"/>
    <w:rsid w:val="00847301"/>
    <w:rsid w:val="00855B13"/>
    <w:rsid w:val="008A7053"/>
    <w:rsid w:val="00913659"/>
    <w:rsid w:val="009C0A33"/>
    <w:rsid w:val="00A6175F"/>
    <w:rsid w:val="00AC0DE1"/>
    <w:rsid w:val="00BB2074"/>
    <w:rsid w:val="00C451AF"/>
    <w:rsid w:val="00C972E0"/>
    <w:rsid w:val="00D05624"/>
    <w:rsid w:val="00D62DD4"/>
    <w:rsid w:val="00D8744D"/>
    <w:rsid w:val="00DA5A58"/>
    <w:rsid w:val="00DA5EDB"/>
    <w:rsid w:val="00DC2F28"/>
    <w:rsid w:val="00DF5B93"/>
    <w:rsid w:val="00E03332"/>
    <w:rsid w:val="00E3105A"/>
    <w:rsid w:val="00E926F6"/>
    <w:rsid w:val="00EB21B5"/>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19</cp:revision>
  <cp:lastPrinted>2023-05-02T06:37:00Z</cp:lastPrinted>
  <dcterms:created xsi:type="dcterms:W3CDTF">2023-05-01T12:04:00Z</dcterms:created>
  <dcterms:modified xsi:type="dcterms:W3CDTF">2023-05-07T12:08:00Z</dcterms:modified>
</cp:coreProperties>
</file>