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5552" w14:textId="793AE7DC" w:rsidR="00EC636E" w:rsidRDefault="00EC636E" w:rsidP="008729DD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63DDE9A4" w14:textId="77777777" w:rsidR="008729DD" w:rsidRDefault="008729DD" w:rsidP="008729DD">
      <w:pPr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2629B51F" w14:textId="21A690DB" w:rsidR="00EC636E" w:rsidRDefault="00572800" w:rsidP="008729DD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BD144" wp14:editId="01381CEF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D5E2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D1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G9gEAANMDAAAOAAAAZHJzL2Uyb0RvYy54bWysU01v2zAMvQ/YfxB0X5wEadMacYouRYYB&#10;3QfQbXdZlm1hsqhRSuzs14+S3TTbbsN8EEiTeuR7pDZ3Q2fYUaHXYAu+mM05U1ZCpW1T8K9f9m9u&#10;OPNB2EoYsKrgJ+X53fb1q03vcrWEFkylkBGI9XnvCt6G4PIs87JVnfAzcMpSsAbsRCAXm6xC0RN6&#10;Z7LlfH6d9YCVQ5DKe/r7MAb5NuHXtZLhU117FZgpOPUW0onpLOOZbTcib1C4VsupDfEPXXRCWyp6&#10;hnoQQbAD6r+gOi0RPNRhJqHLoK61VIkDsVnM/2Dz1AqnEhcSx7uzTP7/wcqPxyf3GVkY3sJAA0wk&#10;vHsE+d0zC7tW2EbdI0LfKlFR4UWULOudz6erUWqf+whS9h+goiGLQ4AENNTYsdpo9+0ZmhgzqkOj&#10;OJ3lV0NgMha/md+urziTFFqt1tdkx1oijzBRXIc+vFPQsWgUHGm6qYw4Pvowpj6nxHQPRld7bUxy&#10;sCl3BtlR0Cbs0zeh/5ZmbEy2EK+NiPFP4hspjmTDUA4UjLxLqE7EHGHcLHoJZLSAPznraasK7n8c&#10;BCrOzHtL6t0uVqu4hslZXa2X5OBlpLyMCCsJquCBs9HchXF1Dw5101KlcV4W7knxWicNXrqa+qbN&#10;SSpOWx5X89JPWS9vcfsLAAD//wMAUEsDBBQABgAIAAAAIQAK4PDI4QAAAAoBAAAPAAAAZHJzL2Rv&#10;d25yZXYueG1sTI9PT4NAEMXvJn6HzZh4Me0ClgaQpTHGei8a/9y2MAKRnUV2S2k/veNJj2/ey5vf&#10;yzez6cWEo+ssKQiXAQikytYdNQpenreLBITzmmrdW0IFJ3SwKS4vcp3V9kg7nErfCC4hl2kFrfdD&#10;JqWrWjTaLe2AxN6nHY32LMdG1qM+crnpZRQEa2l0R/yh1QM+tFh9lQej4Pw2ld/vH7vo9Wab+jm2&#10;T+vzo1Hq+mq+vwPhcfZ/YfjFZ3QomGlvD1Q70SuIQp7iFSzCKL0FwYlVGoPY8yVOEpBFLv9PKH4A&#10;AAD//wMAUEsBAi0AFAAGAAgAAAAhALaDOJL+AAAA4QEAABMAAAAAAAAAAAAAAAAAAAAAAFtDb250&#10;ZW50X1R5cGVzXS54bWxQSwECLQAUAAYACAAAACEAOP0h/9YAAACUAQAACwAAAAAAAAAAAAAAAAAv&#10;AQAAX3JlbHMvLnJlbHNQSwECLQAUAAYACAAAACEAsvy0xvYBAADTAwAADgAAAAAAAAAAAAAAAAAu&#10;AgAAZHJzL2Uyb0RvYy54bWxQSwECLQAUAAYACAAAACEACuDwyOEAAAAKAQAADwAAAAAAAAAAAAAA&#10;AABQBAAAZHJzL2Rvd25yZXYueG1sUEsFBgAAAAAEAAQA8wAAAF4FAAAAAA==&#10;" stroked="f">
                <v:textbox>
                  <w:txbxContent>
                    <w:p w14:paraId="6F1ED5E2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p w14:paraId="0E0FF75B" w14:textId="77777777" w:rsidR="008729DD" w:rsidRDefault="008729DD" w:rsidP="008729DD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3AD6455" w14:textId="77777777" w:rsidR="00EC636E" w:rsidRPr="00F73AF0" w:rsidRDefault="00EC636E" w:rsidP="00A028BF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75D1B0C6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0FB425BB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0D183C65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30F1F1C6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877A414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70DE4863" w14:textId="77777777" w:rsidR="00572800" w:rsidRPr="00F73AF0" w:rsidRDefault="00C70E84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الفيزياء الطبية</w:t>
            </w:r>
          </w:p>
        </w:tc>
        <w:tc>
          <w:tcPr>
            <w:tcW w:w="1991" w:type="dxa"/>
            <w:gridSpan w:val="2"/>
          </w:tcPr>
          <w:p w14:paraId="1A8BF5DA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066377A7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C70E8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CPFC102</w:t>
            </w:r>
          </w:p>
        </w:tc>
      </w:tr>
      <w:tr w:rsidR="00572800" w:rsidRPr="00F73AF0" w14:paraId="403541FC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4CD503EF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C70E8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1266" w:type="dxa"/>
          </w:tcPr>
          <w:p w14:paraId="2304BAD9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C70E8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0780D434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C70E84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1991" w:type="dxa"/>
            <w:gridSpan w:val="2"/>
          </w:tcPr>
          <w:p w14:paraId="7459794C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278F5178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لا يوجد</w:t>
            </w:r>
          </w:p>
        </w:tc>
      </w:tr>
      <w:tr w:rsidR="00572800" w:rsidRPr="00F73AF0" w14:paraId="0F806855" w14:textId="77777777" w:rsidTr="00BB3390">
        <w:trPr>
          <w:trHeight w:val="265"/>
        </w:trPr>
        <w:tc>
          <w:tcPr>
            <w:tcW w:w="3425" w:type="dxa"/>
            <w:gridSpan w:val="3"/>
          </w:tcPr>
          <w:p w14:paraId="56312EC5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37DC2DAF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14D15E8E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3F25281B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C70E84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أول</w:t>
            </w:r>
          </w:p>
        </w:tc>
      </w:tr>
    </w:tbl>
    <w:p w14:paraId="4C2F3429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3700D172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49F0D3F9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203ED154" w14:textId="77777777" w:rsidTr="00F73AF0">
        <w:trPr>
          <w:trHeight w:val="466"/>
        </w:trPr>
        <w:tc>
          <w:tcPr>
            <w:tcW w:w="9355" w:type="dxa"/>
          </w:tcPr>
          <w:p w14:paraId="356FE206" w14:textId="77777777" w:rsidR="00572800" w:rsidRPr="00192D61" w:rsidRDefault="00652561" w:rsidP="00192D61">
            <w:pPr>
              <w:rPr>
                <w:rFonts w:cs="Simplified Arabic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192D61">
              <w:rPr>
                <w:rFonts w:cs="Simplified Arabic" w:hint="cs"/>
                <w:rtl/>
              </w:rPr>
              <w:t>بهدف المقرر إلى تعريف الطالب بالمبادئ الفيزيائية لعمل العديد من أعضاء جسم الإنسان بالإضافة إلى تعر</w:t>
            </w:r>
            <w:r w:rsidR="00C30B4E">
              <w:rPr>
                <w:rFonts w:cs="Simplified Arabic" w:hint="cs"/>
                <w:rtl/>
              </w:rPr>
              <w:t>يف الطالب بالخلفية الفيزيائية لعمل العديد من الأجهزة</w:t>
            </w:r>
            <w:r w:rsidR="00192D61">
              <w:rPr>
                <w:rFonts w:cs="Simplified Arabic" w:hint="cs"/>
                <w:rtl/>
              </w:rPr>
              <w:t xml:space="preserve"> المستخدمة</w:t>
            </w:r>
            <w:r w:rsidR="00C30B4E">
              <w:rPr>
                <w:rFonts w:cs="Simplified Arabic" w:hint="cs"/>
                <w:rtl/>
              </w:rPr>
              <w:t xml:space="preserve"> في التشخيص والعلاج الطبيين</w:t>
            </w:r>
            <w:r w:rsidR="00192D61">
              <w:rPr>
                <w:rFonts w:cs="Simplified Arabic" w:hint="cs"/>
                <w:rtl/>
              </w:rPr>
              <w:t>. كما أنه يتم تدريب الطالب ضمن الجزء العملي من المقرر على استخدام الأجهز</w:t>
            </w:r>
            <w:r w:rsidR="00192D61">
              <w:rPr>
                <w:rFonts w:cs="Simplified Arabic" w:hint="eastAsia"/>
                <w:rtl/>
              </w:rPr>
              <w:t>ة</w:t>
            </w:r>
            <w:r w:rsidR="00192D61">
              <w:rPr>
                <w:rFonts w:cs="Simplified Arabic" w:hint="cs"/>
                <w:rtl/>
              </w:rPr>
              <w:t xml:space="preserve"> المخبرية بغية الحصول على أفضل النتائج التجريبية الممكنة.</w:t>
            </w:r>
          </w:p>
        </w:tc>
      </w:tr>
    </w:tbl>
    <w:p w14:paraId="24F1527E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216" w:type="dxa"/>
        <w:jc w:val="center"/>
        <w:tblLook w:val="04A0" w:firstRow="1" w:lastRow="0" w:firstColumn="1" w:lastColumn="0" w:noHBand="0" w:noVBand="1"/>
      </w:tblPr>
      <w:tblGrid>
        <w:gridCol w:w="9216"/>
      </w:tblGrid>
      <w:tr w:rsidR="00F226D2" w:rsidRPr="00F73AF0" w14:paraId="01460E2E" w14:textId="77777777" w:rsidTr="002F09D0">
        <w:trPr>
          <w:trHeight w:val="344"/>
          <w:jc w:val="center"/>
        </w:trPr>
        <w:tc>
          <w:tcPr>
            <w:tcW w:w="9216" w:type="dxa"/>
            <w:shd w:val="clear" w:color="auto" w:fill="BFBFBF" w:themeFill="background1" w:themeFillShade="BF"/>
          </w:tcPr>
          <w:p w14:paraId="58F6707B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05B7267E" w14:textId="77777777" w:rsidTr="002F09D0">
        <w:trPr>
          <w:trHeight w:val="344"/>
          <w:jc w:val="center"/>
        </w:trPr>
        <w:tc>
          <w:tcPr>
            <w:tcW w:w="92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AB8F9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7086AC2E" w14:textId="77777777" w:rsidTr="002F09D0">
        <w:trPr>
          <w:trHeight w:val="746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C5C5B" w14:textId="77777777" w:rsidR="00615C1B" w:rsidRPr="00C30B4E" w:rsidRDefault="00615C1B" w:rsidP="00615C1B">
            <w:pPr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 w:cs="Simplified Arabic"/>
              </w:rPr>
            </w:pPr>
            <w:r w:rsidRPr="00C30B4E">
              <w:rPr>
                <w:rFonts w:ascii="Simplified Arabic" w:hAnsi="Simplified Arabic" w:cs="Simplified Arabic"/>
                <w:rtl/>
              </w:rPr>
              <w:t>مدخل إلى الفيزياء الطبية.</w:t>
            </w:r>
          </w:p>
          <w:p w14:paraId="327FEBD2" w14:textId="77777777" w:rsidR="000E027B" w:rsidRPr="00C30B4E" w:rsidRDefault="00615C1B" w:rsidP="00615C1B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الضوء وفيزياء العين.</w:t>
            </w:r>
          </w:p>
        </w:tc>
      </w:tr>
      <w:tr w:rsidR="000E027B" w:rsidRPr="00F73AF0" w14:paraId="7ED2AFFF" w14:textId="77777777" w:rsidTr="002F09D0">
        <w:trPr>
          <w:trHeight w:val="387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85931" w14:textId="77777777" w:rsidR="000E027B" w:rsidRPr="00C30B4E" w:rsidRDefault="004D6CCC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الأشعة فوق البنفسجية وتطبيقاتها الطبية</w:t>
            </w:r>
            <w:r w:rsidR="00615C1B" w:rsidRPr="00C30B4E">
              <w:rPr>
                <w:rFonts w:ascii="Simplified Arabic" w:hAnsi="Simplified Arabic"/>
                <w:sz w:val="24"/>
                <w:szCs w:val="24"/>
                <w:rtl/>
              </w:rPr>
              <w:t>.</w:t>
            </w:r>
          </w:p>
        </w:tc>
      </w:tr>
      <w:tr w:rsidR="000E027B" w:rsidRPr="00F73AF0" w14:paraId="46BA8B3B" w14:textId="77777777" w:rsidTr="002F09D0">
        <w:trPr>
          <w:trHeight w:val="330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CBEF" w14:textId="77777777" w:rsidR="000E027B" w:rsidRPr="00C30B4E" w:rsidRDefault="00FF1A5E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الأشعة تحت الحمراء وتطبيقاتها الطبية.</w:t>
            </w:r>
          </w:p>
        </w:tc>
      </w:tr>
      <w:tr w:rsidR="000E027B" w:rsidRPr="00F73AF0" w14:paraId="2146343E" w14:textId="77777777" w:rsidTr="002F09D0">
        <w:trPr>
          <w:trHeight w:val="315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C3690" w14:textId="77777777" w:rsidR="000E027B" w:rsidRPr="00C30B4E" w:rsidRDefault="00FF1A5E" w:rsidP="008244AE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الأشعة السينية وتطبيقاتها الطبية</w:t>
            </w:r>
            <w:r w:rsidR="00C30B4E">
              <w:rPr>
                <w:rFonts w:ascii="Simplified Arabic" w:hAnsi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0E027B" w:rsidRPr="00F73AF0" w14:paraId="4F37609F" w14:textId="77777777" w:rsidTr="002F09D0">
        <w:trPr>
          <w:trHeight w:val="514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EE0CE" w14:textId="77777777" w:rsidR="000E027B" w:rsidRPr="00C30B4E" w:rsidRDefault="00FF1A5E" w:rsidP="002F09D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أمواج التيراهرتز وتطبيقاتها الطبية</w:t>
            </w:r>
            <w:r w:rsidR="002F09D0" w:rsidRPr="00C30B4E">
              <w:rPr>
                <w:rFonts w:ascii="Simplified Arabic" w:hAnsi="Simplified Arabic"/>
                <w:sz w:val="24"/>
                <w:szCs w:val="24"/>
                <w:rtl/>
              </w:rPr>
              <w:t>.</w:t>
            </w:r>
          </w:p>
          <w:p w14:paraId="7612EDBD" w14:textId="77777777" w:rsidR="002F09D0" w:rsidRPr="00C30B4E" w:rsidRDefault="002F09D0" w:rsidP="002F09D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فيزياء النواة والنشاط الإشعاعي.</w:t>
            </w:r>
          </w:p>
        </w:tc>
      </w:tr>
      <w:tr w:rsidR="000E027B" w:rsidRPr="00F73AF0" w14:paraId="209E3AAB" w14:textId="77777777" w:rsidTr="002F09D0">
        <w:trPr>
          <w:trHeight w:val="387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2A26F" w14:textId="77777777" w:rsidR="000E027B" w:rsidRPr="00C30B4E" w:rsidRDefault="002F09D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الطب النووي التشخيصي والعلاجي</w:t>
            </w:r>
            <w:r w:rsidR="00C30B4E">
              <w:rPr>
                <w:rFonts w:ascii="Simplified Arabic" w:hAnsi="Simplified Arabic" w:hint="cs"/>
                <w:sz w:val="24"/>
                <w:szCs w:val="24"/>
                <w:rtl/>
              </w:rPr>
              <w:t>.</w:t>
            </w:r>
          </w:p>
        </w:tc>
      </w:tr>
      <w:tr w:rsidR="000E027B" w:rsidRPr="00F73AF0" w14:paraId="5C2767FA" w14:textId="77777777" w:rsidTr="002F09D0">
        <w:trPr>
          <w:trHeight w:val="401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6A64" w14:textId="77777777" w:rsidR="000E027B" w:rsidRPr="00C30B4E" w:rsidRDefault="002F09D0" w:rsidP="008244AE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ديناميكية الموائع وجسم الإنسان.</w:t>
            </w:r>
          </w:p>
        </w:tc>
      </w:tr>
      <w:tr w:rsidR="000E027B" w:rsidRPr="00F73AF0" w14:paraId="3FF48C4F" w14:textId="77777777" w:rsidTr="002F09D0">
        <w:trPr>
          <w:trHeight w:val="387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C027" w14:textId="77777777" w:rsidR="000E027B" w:rsidRPr="00C30B4E" w:rsidRDefault="002F09D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الأمواج فوق الصوتية وتطبيقاتها الطبية.</w:t>
            </w:r>
          </w:p>
        </w:tc>
      </w:tr>
      <w:tr w:rsidR="000E027B" w:rsidRPr="00F73AF0" w14:paraId="50FC79CF" w14:textId="77777777" w:rsidTr="002F09D0">
        <w:trPr>
          <w:trHeight w:val="401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B28" w14:textId="77777777" w:rsidR="000E027B" w:rsidRPr="00C30B4E" w:rsidRDefault="002F09D0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C30B4E">
              <w:rPr>
                <w:rFonts w:ascii="Simplified Arabic" w:hAnsi="Simplified Arabic"/>
                <w:sz w:val="24"/>
                <w:szCs w:val="24"/>
                <w:rtl/>
              </w:rPr>
              <w:t>الليزر وتطبيقاته الطبية.</w:t>
            </w:r>
          </w:p>
        </w:tc>
      </w:tr>
      <w:tr w:rsidR="000E027B" w:rsidRPr="00F73AF0" w14:paraId="3F241B41" w14:textId="77777777" w:rsidTr="002F09D0">
        <w:trPr>
          <w:trHeight w:val="111"/>
          <w:jc w:val="center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099" w14:textId="77777777" w:rsidR="000E027B" w:rsidRPr="002F09D0" w:rsidRDefault="000E027B" w:rsidP="002F09D0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tbl>
      <w:tblPr>
        <w:bidiVisual/>
        <w:tblW w:w="9226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6"/>
      </w:tblGrid>
      <w:tr w:rsidR="00572800" w:rsidRPr="00F73AF0" w14:paraId="2C9DD1EF" w14:textId="77777777" w:rsidTr="007A4B8C">
        <w:trPr>
          <w:trHeight w:hRule="exact" w:val="370"/>
        </w:trPr>
        <w:tc>
          <w:tcPr>
            <w:tcW w:w="9226" w:type="dxa"/>
            <w:shd w:val="clear" w:color="auto" w:fill="B3B3B3"/>
          </w:tcPr>
          <w:p w14:paraId="673663C1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2F09D0" w14:paraId="39744524" w14:textId="77777777" w:rsidTr="007A4B8C">
        <w:trPr>
          <w:trHeight w:hRule="exact" w:val="790"/>
        </w:trPr>
        <w:tc>
          <w:tcPr>
            <w:tcW w:w="9226" w:type="dxa"/>
          </w:tcPr>
          <w:p w14:paraId="3D8B8A1A" w14:textId="77777777" w:rsidR="002F09D0" w:rsidRPr="002F09D0" w:rsidRDefault="002F09D0" w:rsidP="002F09D0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2F09D0">
              <w:rPr>
                <w:sz w:val="22"/>
                <w:szCs w:val="22"/>
              </w:rPr>
              <w:lastRenderedPageBreak/>
              <w:t xml:space="preserve">1. College physics, </w:t>
            </w:r>
            <w:proofErr w:type="spellStart"/>
            <w:r w:rsidRPr="002F09D0">
              <w:rPr>
                <w:sz w:val="22"/>
                <w:szCs w:val="22"/>
              </w:rPr>
              <w:t>Vuille|Serway</w:t>
            </w:r>
            <w:proofErr w:type="spellEnd"/>
            <w:r w:rsidRPr="002F09D0">
              <w:rPr>
                <w:sz w:val="22"/>
                <w:szCs w:val="22"/>
              </w:rPr>
              <w:t xml:space="preserve">, eighth edition. </w:t>
            </w:r>
            <w:proofErr w:type="spellStart"/>
            <w:r w:rsidRPr="002F09D0">
              <w:rPr>
                <w:sz w:val="22"/>
                <w:szCs w:val="22"/>
              </w:rPr>
              <w:t>Brooks|Cole</w:t>
            </w:r>
            <w:proofErr w:type="spellEnd"/>
            <w:r w:rsidRPr="002F09D0">
              <w:rPr>
                <w:sz w:val="22"/>
                <w:szCs w:val="22"/>
              </w:rPr>
              <w:t>, USA 2009. ISBN 13-978-0-495-55498-1</w:t>
            </w:r>
          </w:p>
          <w:p w14:paraId="2D3DDDD7" w14:textId="02329AC5" w:rsidR="00572800" w:rsidRPr="002F09D0" w:rsidRDefault="002F09D0" w:rsidP="002F09D0">
            <w:pPr>
              <w:bidi w:val="0"/>
              <w:rPr>
                <w:rFonts w:ascii="Sakkal Majalla" w:hAnsi="Sakkal Majalla" w:cs="Sakkal Majalla"/>
                <w:sz w:val="22"/>
                <w:szCs w:val="22"/>
              </w:rPr>
            </w:pPr>
            <w:r w:rsidRPr="002F09D0">
              <w:rPr>
                <w:sz w:val="22"/>
                <w:szCs w:val="22"/>
              </w:rPr>
              <w:t xml:space="preserve">2. Segway's Essentials of college physics, </w:t>
            </w:r>
            <w:proofErr w:type="spellStart"/>
            <w:r w:rsidRPr="002F09D0">
              <w:rPr>
                <w:sz w:val="22"/>
                <w:szCs w:val="22"/>
              </w:rPr>
              <w:t>Vuille|Serway</w:t>
            </w:r>
            <w:proofErr w:type="spellEnd"/>
            <w:r w:rsidRPr="002F09D0">
              <w:rPr>
                <w:sz w:val="22"/>
                <w:szCs w:val="22"/>
              </w:rPr>
              <w:t xml:space="preserve">.  </w:t>
            </w:r>
            <w:proofErr w:type="spellStart"/>
            <w:r w:rsidRPr="002F09D0">
              <w:rPr>
                <w:sz w:val="22"/>
                <w:szCs w:val="22"/>
              </w:rPr>
              <w:t>Brooks|Cole</w:t>
            </w:r>
            <w:proofErr w:type="spellEnd"/>
            <w:r w:rsidRPr="002F09D0">
              <w:rPr>
                <w:sz w:val="22"/>
                <w:szCs w:val="22"/>
              </w:rPr>
              <w:t>, USA 2007. ISBN 13-978-0-495-10619-</w:t>
            </w:r>
          </w:p>
        </w:tc>
      </w:tr>
    </w:tbl>
    <w:p w14:paraId="50A282A1" w14:textId="6B5A3C5F" w:rsidR="00EC636E" w:rsidRDefault="007A4B8C" w:rsidP="00235AA3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</w:t>
      </w:r>
    </w:p>
    <w:p w14:paraId="3A678102" w14:textId="77777777" w:rsidR="00EC636E" w:rsidRDefault="00EC636E" w:rsidP="007A4B8C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14:paraId="13D840B4" w14:textId="5CE206FA" w:rsidR="00572800" w:rsidRPr="00F73AF0" w:rsidRDefault="00EC636E" w:rsidP="007A4B8C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</w:t>
      </w:r>
      <w:r w:rsidR="007A4B8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</w:t>
      </w:r>
      <w:r w:rsidR="007A4B8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235AA3">
        <w:rPr>
          <w:rFonts w:ascii="Sakkal Majalla" w:hAnsi="Sakkal Majalla" w:cs="Sakkal Majalla"/>
          <w:b/>
          <w:bCs/>
          <w:sz w:val="26"/>
          <w:szCs w:val="26"/>
        </w:rPr>
        <w:t xml:space="preserve">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</w:t>
      </w:r>
      <w:r w:rsidR="00235AA3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7A4B8C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6A36E752" w14:textId="77777777" w:rsidR="007A4B8C" w:rsidRDefault="00F67E3A" w:rsidP="00514E49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</w:t>
      </w:r>
    </w:p>
    <w:p w14:paraId="57551BE4" w14:textId="1B7B1BB1" w:rsidR="00F140D5" w:rsidRPr="00514E49" w:rsidRDefault="007A4B8C" w:rsidP="00514E49">
      <w:pPr>
        <w:jc w:val="center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</w:t>
      </w:r>
      <w:r w:rsidR="00EC636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</w:t>
      </w:r>
      <w:r w:rsidR="00EC636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</w:t>
      </w:r>
      <w:r w:rsidR="00EC636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</w:t>
      </w:r>
      <w:r w:rsidR="00EC636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</w:t>
      </w:r>
      <w:r w:rsidR="00235AA3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                  </w:t>
      </w:r>
      <w:r w:rsidR="00EC636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        </w:t>
      </w:r>
      <w:r w:rsidR="00EC636E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</w:t>
      </w:r>
      <w:r w:rsidR="00F67E3A">
        <w:rPr>
          <w:rFonts w:ascii="Sakkal Majalla" w:hAnsi="Sakkal Majalla" w:cs="Sakkal Majalla"/>
          <w:b/>
          <w:bCs/>
          <w:sz w:val="26"/>
          <w:szCs w:val="26"/>
          <w:lang w:bidi="ar-SY"/>
        </w:rPr>
        <w:t xml:space="preserve">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8729DD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F140D5" w:rsidRPr="00514E4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ECD9" w14:textId="77777777" w:rsidR="007974D2" w:rsidRDefault="007974D2" w:rsidP="00F226D2">
      <w:r>
        <w:separator/>
      </w:r>
    </w:p>
  </w:endnote>
  <w:endnote w:type="continuationSeparator" w:id="0">
    <w:p w14:paraId="5553839E" w14:textId="77777777" w:rsidR="007974D2" w:rsidRDefault="007974D2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E526" w14:textId="77777777" w:rsidR="007974D2" w:rsidRDefault="007974D2" w:rsidP="00F226D2">
      <w:r>
        <w:separator/>
      </w:r>
    </w:p>
  </w:footnote>
  <w:footnote w:type="continuationSeparator" w:id="0">
    <w:p w14:paraId="6EC0C70F" w14:textId="77777777" w:rsidR="007974D2" w:rsidRDefault="007974D2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2D21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8DEC1C" wp14:editId="4FA7B02F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031C9E94"/>
    <w:lvl w:ilvl="0" w:tplc="435688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7B8"/>
    <w:multiLevelType w:val="hybridMultilevel"/>
    <w:tmpl w:val="4C9C8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24898">
    <w:abstractNumId w:val="1"/>
  </w:num>
  <w:num w:numId="2" w16cid:durableId="188303095">
    <w:abstractNumId w:val="4"/>
  </w:num>
  <w:num w:numId="3" w16cid:durableId="195584503">
    <w:abstractNumId w:val="2"/>
  </w:num>
  <w:num w:numId="4" w16cid:durableId="1405761716">
    <w:abstractNumId w:val="0"/>
  </w:num>
  <w:num w:numId="5" w16cid:durableId="1020735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B2F85"/>
    <w:rsid w:val="000C26A2"/>
    <w:rsid w:val="000E027B"/>
    <w:rsid w:val="00192D61"/>
    <w:rsid w:val="0021273C"/>
    <w:rsid w:val="00226D76"/>
    <w:rsid w:val="00235AA3"/>
    <w:rsid w:val="002F09D0"/>
    <w:rsid w:val="003E3730"/>
    <w:rsid w:val="003E4B85"/>
    <w:rsid w:val="00415D47"/>
    <w:rsid w:val="0044592D"/>
    <w:rsid w:val="004D6CCC"/>
    <w:rsid w:val="00505CA3"/>
    <w:rsid w:val="00514E49"/>
    <w:rsid w:val="00572800"/>
    <w:rsid w:val="00595342"/>
    <w:rsid w:val="005E4E7B"/>
    <w:rsid w:val="00615C1B"/>
    <w:rsid w:val="00652561"/>
    <w:rsid w:val="006670D7"/>
    <w:rsid w:val="006706CD"/>
    <w:rsid w:val="006B75BC"/>
    <w:rsid w:val="006D67F0"/>
    <w:rsid w:val="00755053"/>
    <w:rsid w:val="007974D2"/>
    <w:rsid w:val="007A4B8C"/>
    <w:rsid w:val="007B5483"/>
    <w:rsid w:val="0080393D"/>
    <w:rsid w:val="008244AE"/>
    <w:rsid w:val="0083797F"/>
    <w:rsid w:val="008729DD"/>
    <w:rsid w:val="00907089"/>
    <w:rsid w:val="00911758"/>
    <w:rsid w:val="009A50DA"/>
    <w:rsid w:val="009C285E"/>
    <w:rsid w:val="00A028BF"/>
    <w:rsid w:val="00AE0F2E"/>
    <w:rsid w:val="00B72810"/>
    <w:rsid w:val="00BB3390"/>
    <w:rsid w:val="00C20533"/>
    <w:rsid w:val="00C30B4E"/>
    <w:rsid w:val="00C55DE9"/>
    <w:rsid w:val="00C702B6"/>
    <w:rsid w:val="00C70E84"/>
    <w:rsid w:val="00C87A4F"/>
    <w:rsid w:val="00C929B3"/>
    <w:rsid w:val="00DC5F10"/>
    <w:rsid w:val="00E13743"/>
    <w:rsid w:val="00EA22D9"/>
    <w:rsid w:val="00EC636E"/>
    <w:rsid w:val="00EE3530"/>
    <w:rsid w:val="00EF750B"/>
    <w:rsid w:val="00F226D2"/>
    <w:rsid w:val="00F67E3A"/>
    <w:rsid w:val="00F73AF0"/>
    <w:rsid w:val="00F95DBB"/>
    <w:rsid w:val="00FD7458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BA16E"/>
  <w15:docId w15:val="{4575846C-B76F-4837-A39E-65B67069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2O11 - 2O12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12</cp:revision>
  <cp:lastPrinted>2022-08-09T06:39:00Z</cp:lastPrinted>
  <dcterms:created xsi:type="dcterms:W3CDTF">2020-03-01T21:01:00Z</dcterms:created>
  <dcterms:modified xsi:type="dcterms:W3CDTF">2022-08-09T06:39:00Z</dcterms:modified>
</cp:coreProperties>
</file>