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9EB4" w14:textId="77777777" w:rsidR="00572800" w:rsidRPr="00F73AF0" w:rsidRDefault="00572800" w:rsidP="00C03A08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5D113" wp14:editId="2F0295C7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88921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23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" stroked="f">
                <v:textbox>
                  <w:txbxContent>
                    <w:p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4D0A49FC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7DAF47C3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48610504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2E5A1F54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1EC53917" w14:textId="77777777" w:rsidR="00572800" w:rsidRPr="00D25B0D" w:rsidRDefault="00572800" w:rsidP="00D25B0D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val="en-GB"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0F2BFA74" w14:textId="77777777" w:rsidR="00572800" w:rsidRPr="00F73AF0" w:rsidRDefault="0089019F" w:rsidP="00D25B0D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علم العقاقير 1</w:t>
            </w:r>
            <w:r w:rsidR="00D25B0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</w:p>
        </w:tc>
        <w:tc>
          <w:tcPr>
            <w:tcW w:w="1991" w:type="dxa"/>
            <w:gridSpan w:val="2"/>
          </w:tcPr>
          <w:p w14:paraId="2533F87A" w14:textId="77777777" w:rsidR="00572800" w:rsidRPr="00F73AF0" w:rsidRDefault="00572800" w:rsidP="00D25B0D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</w:t>
            </w:r>
          </w:p>
        </w:tc>
        <w:tc>
          <w:tcPr>
            <w:tcW w:w="1903" w:type="dxa"/>
          </w:tcPr>
          <w:p w14:paraId="55D02CF9" w14:textId="77777777" w:rsidR="00572800" w:rsidRPr="00F73AF0" w:rsidRDefault="000E027B" w:rsidP="0089019F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D25B0D">
              <w:rPr>
                <w:rFonts w:ascii="Sakkal Majalla" w:hAnsi="Sakkal Majalla" w:cs="Sakkal Majalla"/>
                <w:b/>
                <w:bCs/>
                <w:sz w:val="26"/>
                <w:szCs w:val="26"/>
                <w:lang w:val="en-GB" w:bidi="ar-SY"/>
              </w:rPr>
              <w:t>CPPH</w:t>
            </w:r>
            <w:r w:rsidR="0089019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 w:bidi="ar-SY"/>
              </w:rPr>
              <w:t>203</w:t>
            </w:r>
            <w:r w:rsidR="00D25B0D"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</w:p>
        </w:tc>
      </w:tr>
      <w:tr w:rsidR="00572800" w:rsidRPr="00F73AF0" w14:paraId="30B0B74E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5270AF4F" w14:textId="77777777" w:rsidR="00572800" w:rsidRPr="00F73AF0" w:rsidRDefault="00572800" w:rsidP="0089019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89019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  <w:tc>
          <w:tcPr>
            <w:tcW w:w="1266" w:type="dxa"/>
          </w:tcPr>
          <w:p w14:paraId="480242B7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D25B0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2</w:t>
            </w:r>
          </w:p>
        </w:tc>
        <w:tc>
          <w:tcPr>
            <w:tcW w:w="2060" w:type="dxa"/>
            <w:gridSpan w:val="2"/>
          </w:tcPr>
          <w:p w14:paraId="19C6383B" w14:textId="77777777" w:rsidR="00572800" w:rsidRPr="00F73AF0" w:rsidRDefault="00572800" w:rsidP="0089019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89019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2</w:t>
            </w:r>
          </w:p>
        </w:tc>
        <w:tc>
          <w:tcPr>
            <w:tcW w:w="1991" w:type="dxa"/>
            <w:gridSpan w:val="2"/>
          </w:tcPr>
          <w:p w14:paraId="6467E96D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0172EB12" w14:textId="77777777" w:rsidR="00572800" w:rsidRPr="00F73AF0" w:rsidRDefault="0089019F" w:rsidP="0089019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علم النبات</w:t>
            </w:r>
          </w:p>
        </w:tc>
      </w:tr>
      <w:tr w:rsidR="00572800" w:rsidRPr="00F73AF0" w14:paraId="2792FCE4" w14:textId="77777777" w:rsidTr="00BB3390">
        <w:trPr>
          <w:trHeight w:val="265"/>
        </w:trPr>
        <w:tc>
          <w:tcPr>
            <w:tcW w:w="3425" w:type="dxa"/>
            <w:gridSpan w:val="3"/>
          </w:tcPr>
          <w:p w14:paraId="0674F3CC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4FB98A86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1C041BB9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64A84CB1" w14:textId="77777777" w:rsidR="00572800" w:rsidRPr="00F73AF0" w:rsidRDefault="00572800" w:rsidP="0089019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89019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3/سنة ثانية</w:t>
            </w:r>
          </w:p>
        </w:tc>
      </w:tr>
    </w:tbl>
    <w:p w14:paraId="4CFC8175" w14:textId="77777777" w:rsidR="0057280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0DFF3C0D" w14:textId="77777777" w:rsidR="00C03A08" w:rsidRPr="00F73AF0" w:rsidRDefault="00C03A08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4B8F0DC7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13AF6A55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396AB997" w14:textId="77777777" w:rsidTr="00F73AF0">
        <w:trPr>
          <w:trHeight w:val="466"/>
        </w:trPr>
        <w:tc>
          <w:tcPr>
            <w:tcW w:w="9355" w:type="dxa"/>
          </w:tcPr>
          <w:p w14:paraId="4A106F66" w14:textId="77777777" w:rsidR="0089019F" w:rsidRPr="00610EB8" w:rsidRDefault="00652561" w:rsidP="0089019F"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89019F" w:rsidRPr="00610EB8">
              <w:rPr>
                <w:rFonts w:hint="cs"/>
                <w:rtl/>
              </w:rPr>
              <w:t>يتعرف الطالب من خلال هذا المقرر وعلى مدى فصل دراسي واحد على الأصل النباتي للعقاقير وطرق إعداد وتجهيز العقار النباتي والبنية الكيميائية العامة مع التركيز على المكونات الفعا</w:t>
            </w:r>
            <w:r w:rsidR="0089019F">
              <w:rPr>
                <w:rFonts w:hint="cs"/>
                <w:rtl/>
              </w:rPr>
              <w:t>لة</w:t>
            </w:r>
            <w:r w:rsidR="0089019F" w:rsidRPr="00610EB8">
              <w:rPr>
                <w:rFonts w:ascii="Simplified Arabic" w:hint="cs"/>
                <w:rtl/>
              </w:rPr>
              <w:t>، كما يتم من خلاله</w:t>
            </w:r>
            <w:r w:rsidR="0089019F" w:rsidRPr="00610EB8">
              <w:rPr>
                <w:rFonts w:hint="cs"/>
                <w:rtl/>
              </w:rPr>
              <w:t xml:space="preserve"> التعرف على </w:t>
            </w:r>
            <w:r w:rsidR="0089019F">
              <w:rPr>
                <w:rFonts w:hint="cs"/>
                <w:rtl/>
                <w:lang w:bidi="ar-SY"/>
              </w:rPr>
              <w:t xml:space="preserve">علم التصنيف النباتي وأهم العائلات النباتية مع أمثلة عن العقاقير الطبية والتأثير </w:t>
            </w:r>
            <w:r w:rsidR="0089019F" w:rsidRPr="00610EB8">
              <w:rPr>
                <w:rFonts w:hint="cs"/>
                <w:rtl/>
              </w:rPr>
              <w:t>الفيزيولوجي لهذه العقاقير النباتية التي تزود الصناعة الصيدلانية بمواد أولية نباتية ذات مواصفات ثابتة ومستخدمة في المعالجة الدوائية</w:t>
            </w:r>
            <w:r w:rsidR="0089019F" w:rsidRPr="00610EB8">
              <w:rPr>
                <w:rFonts w:ascii="Simplified Arabic" w:hint="cs"/>
                <w:rtl/>
              </w:rPr>
              <w:t>.</w:t>
            </w:r>
          </w:p>
          <w:p w14:paraId="738E694E" w14:textId="77777777" w:rsidR="00572800" w:rsidRPr="00F73AF0" w:rsidRDefault="0089019F" w:rsidP="0089019F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10EB8">
              <w:rPr>
                <w:rFonts w:hint="cs"/>
                <w:rtl/>
              </w:rPr>
              <w:t>كما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ويشكل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هذا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المقرر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مدخلا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لطالب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كلية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الصيدلة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إلى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كيمياء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العقاقير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>
              <w:rPr>
                <w:rFonts w:ascii="Simplified Arabic" w:hint="cs"/>
                <w:rtl/>
              </w:rPr>
              <w:t xml:space="preserve">والاستخلاص </w:t>
            </w:r>
            <w:r w:rsidRPr="00610EB8">
              <w:rPr>
                <w:rFonts w:hint="cs"/>
                <w:rtl/>
              </w:rPr>
              <w:t>حيث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يبدأ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بالتعرف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على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مسالك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التصنيع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الحيوي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ومنتجاتها</w:t>
            </w:r>
            <w:r w:rsidRPr="00610EB8">
              <w:rPr>
                <w:rFonts w:ascii="Simplified Arabic" w:hint="cs"/>
                <w:rtl/>
              </w:rPr>
              <w:t>.</w:t>
            </w:r>
            <w:r>
              <w:rPr>
                <w:rFonts w:ascii="Simplified Arabic"/>
              </w:rPr>
              <w:t xml:space="preserve"> </w:t>
            </w:r>
            <w:r w:rsidRPr="00610EB8">
              <w:rPr>
                <w:rFonts w:hint="cs"/>
                <w:rtl/>
              </w:rPr>
              <w:t>تمهيدا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للبدء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بدراسة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الزمر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الكيميائية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الطبيعية</w:t>
            </w:r>
            <w:r w:rsidRPr="00610EB8">
              <w:rPr>
                <w:rFonts w:ascii="Simplified Arabic" w:hint="cs"/>
                <w:rtl/>
              </w:rPr>
              <w:t xml:space="preserve"> </w:t>
            </w:r>
            <w:r w:rsidRPr="00610EB8">
              <w:rPr>
                <w:rFonts w:hint="cs"/>
                <w:rtl/>
              </w:rPr>
              <w:t>الفعالة</w:t>
            </w:r>
            <w:r w:rsidRPr="00610EB8">
              <w:rPr>
                <w:rFonts w:ascii="Simplified Arabic" w:hint="cs"/>
                <w:rtl/>
              </w:rPr>
              <w:t>.</w:t>
            </w:r>
          </w:p>
        </w:tc>
      </w:tr>
    </w:tbl>
    <w:p w14:paraId="4E5EB131" w14:textId="77777777" w:rsidR="0057280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21C08EC0" w14:textId="77777777" w:rsidR="00C03A08" w:rsidRPr="00F73AF0" w:rsidRDefault="00C03A08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40F5FE22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73312F71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39048EEC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233066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89019F" w:rsidRPr="00F73AF0" w14:paraId="38260778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BD3B7" w14:textId="77777777" w:rsidR="0089019F" w:rsidRPr="0089019F" w:rsidRDefault="0089019F" w:rsidP="008901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019F" w:rsidRPr="00F73AF0" w14:paraId="6BFDC819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96754" w14:textId="77777777" w:rsidR="0089019F" w:rsidRPr="00956EFE" w:rsidRDefault="0089019F" w:rsidP="00956EF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56EFE">
              <w:rPr>
                <w:rFonts w:hint="cs"/>
                <w:sz w:val="24"/>
                <w:szCs w:val="24"/>
                <w:rtl/>
              </w:rPr>
              <w:t xml:space="preserve">مقدمة عامة لعلم العقاقير (التعريف </w:t>
            </w:r>
            <w:r w:rsidRPr="00956EFE">
              <w:rPr>
                <w:sz w:val="24"/>
                <w:szCs w:val="24"/>
                <w:rtl/>
              </w:rPr>
              <w:t>–</w:t>
            </w:r>
            <w:r w:rsidRPr="00956EFE">
              <w:rPr>
                <w:rFonts w:hint="cs"/>
                <w:sz w:val="24"/>
                <w:szCs w:val="24"/>
                <w:rtl/>
              </w:rPr>
              <w:t xml:space="preserve"> الهدف </w:t>
            </w:r>
            <w:r w:rsidRPr="00956EFE">
              <w:rPr>
                <w:sz w:val="24"/>
                <w:szCs w:val="24"/>
                <w:rtl/>
              </w:rPr>
              <w:t>–</w:t>
            </w:r>
            <w:r w:rsidRPr="00956EFE">
              <w:rPr>
                <w:rFonts w:hint="cs"/>
                <w:sz w:val="24"/>
                <w:szCs w:val="24"/>
                <w:rtl/>
              </w:rPr>
              <w:t xml:space="preserve"> الاهتمامات </w:t>
            </w:r>
            <w:r w:rsidRPr="00956EFE">
              <w:rPr>
                <w:sz w:val="24"/>
                <w:szCs w:val="24"/>
                <w:rtl/>
              </w:rPr>
              <w:t>–</w:t>
            </w:r>
            <w:r w:rsidRPr="00956EFE">
              <w:rPr>
                <w:rFonts w:hint="cs"/>
                <w:sz w:val="24"/>
                <w:szCs w:val="24"/>
                <w:rtl/>
              </w:rPr>
              <w:t xml:space="preserve"> الأصول الصيدلانية )</w:t>
            </w:r>
          </w:p>
        </w:tc>
      </w:tr>
      <w:tr w:rsidR="0089019F" w:rsidRPr="00F73AF0" w14:paraId="464CA87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44F9" w14:textId="77777777" w:rsidR="0089019F" w:rsidRPr="00956EFE" w:rsidRDefault="0089019F" w:rsidP="00956EF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56EFE">
              <w:rPr>
                <w:rFonts w:hint="cs"/>
                <w:sz w:val="24"/>
                <w:szCs w:val="24"/>
                <w:rtl/>
              </w:rPr>
              <w:t xml:space="preserve">المصادر الأساسية للعقاقير: المصادر الجيوغرافية للعقاقير المصادر الزراعية للعقاقير (زراعة الخلايا و النسج </w:t>
            </w:r>
            <w:r w:rsidRPr="00956EFE">
              <w:rPr>
                <w:sz w:val="24"/>
                <w:szCs w:val="24"/>
                <w:rtl/>
              </w:rPr>
              <w:t>–</w:t>
            </w:r>
            <w:r w:rsidRPr="00956EFE">
              <w:rPr>
                <w:rFonts w:hint="cs"/>
                <w:sz w:val="24"/>
                <w:szCs w:val="24"/>
                <w:rtl/>
              </w:rPr>
              <w:t xml:space="preserve"> النباتات الطبية المزروعة )</w:t>
            </w:r>
          </w:p>
        </w:tc>
      </w:tr>
      <w:tr w:rsidR="0089019F" w:rsidRPr="00F73AF0" w14:paraId="55844C0D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8F825" w14:textId="77777777" w:rsidR="0089019F" w:rsidRPr="00956EFE" w:rsidRDefault="0089019F" w:rsidP="00956EF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56EFE">
              <w:rPr>
                <w:sz w:val="24"/>
                <w:szCs w:val="24"/>
                <w:rtl/>
              </w:rPr>
              <w:t>إعداد و تجهيز العقاقير : الجني – التنظيف أو الغسل – التجفيف و التثبيت – التعبئة</w:t>
            </w:r>
          </w:p>
        </w:tc>
      </w:tr>
      <w:tr w:rsidR="0089019F" w:rsidRPr="00F73AF0" w14:paraId="295B503E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679CB" w14:textId="77777777" w:rsidR="0089019F" w:rsidRPr="00956EFE" w:rsidRDefault="0089019F" w:rsidP="00956EF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bookmarkStart w:id="0" w:name="OLE_LINK15"/>
            <w:bookmarkStart w:id="1" w:name="OLE_LINK18"/>
            <w:r w:rsidRPr="00956EFE">
              <w:rPr>
                <w:rFonts w:hint="cs"/>
                <w:sz w:val="24"/>
                <w:szCs w:val="24"/>
                <w:rtl/>
              </w:rPr>
              <w:t>المخطط العام لدراسة العقاقير</w:t>
            </w:r>
            <w:bookmarkEnd w:id="0"/>
            <w:bookmarkEnd w:id="1"/>
            <w:r w:rsidRPr="00956EFE">
              <w:rPr>
                <w:rFonts w:hint="cs"/>
                <w:sz w:val="24"/>
                <w:szCs w:val="24"/>
                <w:rtl/>
              </w:rPr>
              <w:t xml:space="preserve"> : التعريف </w:t>
            </w:r>
            <w:r w:rsidRPr="00956EFE">
              <w:rPr>
                <w:sz w:val="24"/>
                <w:szCs w:val="24"/>
                <w:rtl/>
              </w:rPr>
              <w:t>–</w:t>
            </w:r>
            <w:r w:rsidRPr="00956EFE">
              <w:rPr>
                <w:rFonts w:hint="cs"/>
                <w:sz w:val="24"/>
                <w:szCs w:val="24"/>
                <w:rtl/>
              </w:rPr>
              <w:t xml:space="preserve"> الدراسة النباتية </w:t>
            </w:r>
            <w:r w:rsidRPr="00956EFE">
              <w:rPr>
                <w:sz w:val="24"/>
                <w:szCs w:val="24"/>
                <w:rtl/>
              </w:rPr>
              <w:t>–</w:t>
            </w:r>
            <w:r w:rsidRPr="00956EFE">
              <w:rPr>
                <w:rFonts w:hint="cs"/>
                <w:sz w:val="24"/>
                <w:szCs w:val="24"/>
                <w:rtl/>
              </w:rPr>
              <w:t xml:space="preserve"> الدراسة الكيميائية </w:t>
            </w:r>
            <w:r w:rsidRPr="00956EFE">
              <w:rPr>
                <w:sz w:val="24"/>
                <w:szCs w:val="24"/>
                <w:rtl/>
              </w:rPr>
              <w:t>–</w:t>
            </w:r>
            <w:r w:rsidRPr="00956EFE">
              <w:rPr>
                <w:rFonts w:hint="cs"/>
                <w:sz w:val="24"/>
                <w:szCs w:val="24"/>
                <w:rtl/>
              </w:rPr>
              <w:t xml:space="preserve"> دراسة التأثير الفيزيولوجي </w:t>
            </w:r>
            <w:r w:rsidRPr="00956EFE">
              <w:rPr>
                <w:sz w:val="24"/>
                <w:szCs w:val="24"/>
                <w:rtl/>
              </w:rPr>
              <w:t>–</w:t>
            </w:r>
            <w:r w:rsidRPr="00956EFE">
              <w:rPr>
                <w:rFonts w:hint="cs"/>
                <w:sz w:val="24"/>
                <w:szCs w:val="24"/>
                <w:rtl/>
              </w:rPr>
              <w:t xml:space="preserve"> الفحص أو الاختبار</w:t>
            </w:r>
          </w:p>
        </w:tc>
      </w:tr>
      <w:tr w:rsidR="0089019F" w:rsidRPr="00F73AF0" w14:paraId="4A1DD50C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218CA" w14:textId="77777777" w:rsidR="0089019F" w:rsidRPr="00956EFE" w:rsidRDefault="0089019F" w:rsidP="00956EF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bookmarkStart w:id="2" w:name="OLE_LINK19"/>
            <w:bookmarkStart w:id="3" w:name="OLE_LINK20"/>
            <w:bookmarkStart w:id="4" w:name="OLE_LINK21"/>
            <w:r w:rsidRPr="00956EFE">
              <w:rPr>
                <w:rFonts w:hint="cs"/>
                <w:sz w:val="24"/>
                <w:szCs w:val="24"/>
                <w:rtl/>
              </w:rPr>
              <w:t>علم التصنيف النباتي : دراسة المجموعات النباتية الطبية</w:t>
            </w:r>
            <w:bookmarkEnd w:id="2"/>
            <w:bookmarkEnd w:id="3"/>
            <w:bookmarkEnd w:id="4"/>
            <w:r w:rsidRPr="00956EFE">
              <w:rPr>
                <w:rFonts w:hint="cs"/>
                <w:sz w:val="24"/>
                <w:szCs w:val="24"/>
                <w:rtl/>
              </w:rPr>
              <w:t xml:space="preserve">:( الأمثلة النباتية) الجراثيم أو النباتات المنشقة ( الجراثيم اللبنية </w:t>
            </w:r>
            <w:r w:rsidRPr="00956EFE">
              <w:rPr>
                <w:sz w:val="24"/>
                <w:szCs w:val="24"/>
                <w:rtl/>
              </w:rPr>
              <w:t>–</w:t>
            </w:r>
            <w:r w:rsidRPr="00956EFE">
              <w:rPr>
                <w:rFonts w:hint="cs"/>
                <w:sz w:val="24"/>
                <w:szCs w:val="24"/>
                <w:rtl/>
              </w:rPr>
              <w:t xml:space="preserve"> الجراثيم المنتجة للمضادات الحيوية )</w:t>
            </w:r>
          </w:p>
        </w:tc>
      </w:tr>
      <w:tr w:rsidR="0089019F" w:rsidRPr="00F73AF0" w14:paraId="41B49ECC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31B20" w14:textId="77777777" w:rsidR="0089019F" w:rsidRPr="00956EFE" w:rsidRDefault="0089019F" w:rsidP="00956EF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56EFE">
              <w:rPr>
                <w:rFonts w:hint="cs"/>
                <w:sz w:val="24"/>
                <w:szCs w:val="24"/>
                <w:rtl/>
              </w:rPr>
              <w:t>المشريات ( الفطور</w:t>
            </w:r>
            <w:r w:rsidRPr="00956EFE">
              <w:rPr>
                <w:sz w:val="24"/>
                <w:szCs w:val="24"/>
                <w:rtl/>
              </w:rPr>
              <w:t>–</w:t>
            </w:r>
            <w:r w:rsidRPr="00956EFE">
              <w:rPr>
                <w:rFonts w:hint="cs"/>
                <w:sz w:val="24"/>
                <w:szCs w:val="24"/>
                <w:rtl/>
              </w:rPr>
              <w:t xml:space="preserve"> الطحالب أو الأشنيات </w:t>
            </w:r>
            <w:r w:rsidRPr="00956EFE">
              <w:rPr>
                <w:sz w:val="24"/>
                <w:szCs w:val="24"/>
                <w:rtl/>
              </w:rPr>
              <w:t>–</w:t>
            </w:r>
            <w:r w:rsidRPr="00956EFE">
              <w:rPr>
                <w:rFonts w:hint="cs"/>
                <w:sz w:val="24"/>
                <w:szCs w:val="24"/>
                <w:rtl/>
              </w:rPr>
              <w:t xml:space="preserve"> الشيبيات)</w:t>
            </w:r>
          </w:p>
        </w:tc>
      </w:tr>
      <w:tr w:rsidR="0089019F" w:rsidRPr="00F73AF0" w14:paraId="3FB08D88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CE1D5" w14:textId="77777777" w:rsidR="0089019F" w:rsidRPr="00956EFE" w:rsidRDefault="0089019F" w:rsidP="00956EF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56EFE">
              <w:rPr>
                <w:rFonts w:hint="cs"/>
                <w:sz w:val="24"/>
                <w:szCs w:val="24"/>
                <w:rtl/>
              </w:rPr>
              <w:t xml:space="preserve">الخنشاريات أو التريديات ( السرخسيات- ذنب الخيليات </w:t>
            </w:r>
            <w:r w:rsidRPr="00956EFE">
              <w:rPr>
                <w:sz w:val="24"/>
                <w:szCs w:val="24"/>
                <w:rtl/>
              </w:rPr>
              <w:t>–</w:t>
            </w:r>
            <w:r w:rsidRPr="00956EFE">
              <w:rPr>
                <w:rFonts w:hint="cs"/>
                <w:sz w:val="24"/>
                <w:szCs w:val="24"/>
                <w:rtl/>
              </w:rPr>
              <w:t>الرصنيات)</w:t>
            </w:r>
          </w:p>
        </w:tc>
      </w:tr>
      <w:tr w:rsidR="0089019F" w:rsidRPr="00F73AF0" w14:paraId="72DE9854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27C7C" w14:textId="77777777" w:rsidR="0089019F" w:rsidRPr="00956EFE" w:rsidRDefault="0089019F" w:rsidP="00956EF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 w:rsidRPr="00956EFE">
              <w:rPr>
                <w:rFonts w:hint="cs"/>
                <w:sz w:val="24"/>
                <w:szCs w:val="24"/>
                <w:rtl/>
              </w:rPr>
              <w:t>النباتات البذرية : عاريات البذور(الصنوبريات</w:t>
            </w:r>
            <w:r w:rsidRPr="00956EFE">
              <w:rPr>
                <w:sz w:val="24"/>
                <w:szCs w:val="24"/>
                <w:rtl/>
              </w:rPr>
              <w:t>–</w:t>
            </w:r>
            <w:r w:rsidRPr="00956EFE">
              <w:rPr>
                <w:rFonts w:hint="cs"/>
                <w:sz w:val="24"/>
                <w:szCs w:val="24"/>
                <w:rtl/>
              </w:rPr>
              <w:t>السرويات)</w:t>
            </w:r>
          </w:p>
        </w:tc>
      </w:tr>
      <w:tr w:rsidR="0089019F" w:rsidRPr="00F73AF0" w14:paraId="61C9F997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D54F" w14:textId="77777777" w:rsidR="0089019F" w:rsidRPr="00956EFE" w:rsidRDefault="0089019F" w:rsidP="00956EF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56EFE">
              <w:rPr>
                <w:rFonts w:hint="cs"/>
                <w:sz w:val="24"/>
                <w:szCs w:val="24"/>
                <w:rtl/>
              </w:rPr>
              <w:t>النباتات البذرية: مغلفات البذور( أحاديات الفلقة)</w:t>
            </w:r>
          </w:p>
          <w:p w14:paraId="2FB22F36" w14:textId="77777777" w:rsidR="0089019F" w:rsidRPr="00956EFE" w:rsidRDefault="0089019F" w:rsidP="00956EF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 w:rsidRPr="00956EFE">
              <w:rPr>
                <w:rFonts w:hint="cs"/>
                <w:sz w:val="24"/>
                <w:szCs w:val="24"/>
                <w:rtl/>
              </w:rPr>
              <w:t>النباتات البذرية: مغلفات البذور(ثنائيات الفلقة )</w:t>
            </w:r>
          </w:p>
        </w:tc>
      </w:tr>
    </w:tbl>
    <w:p w14:paraId="1C7900EE" w14:textId="77777777" w:rsidR="00956EFE" w:rsidRDefault="00956EFE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69257397" w14:textId="77777777" w:rsidR="00C03A08" w:rsidRDefault="00C03A08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5CD04C7C" w14:textId="77777777" w:rsidR="00C03A08" w:rsidRPr="00F73AF0" w:rsidRDefault="00C03A08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7"/>
      </w:tblGrid>
      <w:tr w:rsidR="00572800" w:rsidRPr="00F73AF0" w14:paraId="4DAF1EB0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3E1308B7" w14:textId="77777777" w:rsidR="00C03A08" w:rsidRDefault="00C03A08" w:rsidP="00C03A08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المراج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</w:t>
            </w:r>
          </w:p>
          <w:p w14:paraId="7B421BE2" w14:textId="77777777" w:rsidR="00C03A08" w:rsidRDefault="00C03A08" w:rsidP="00C03A08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14:paraId="3234B147" w14:textId="77777777" w:rsidR="00C03A08" w:rsidRDefault="00C03A08" w:rsidP="00C03A08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14:paraId="2A81B428" w14:textId="77777777" w:rsidR="00C03A08" w:rsidRDefault="00C03A08" w:rsidP="00C03A08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14:paraId="4CE92152" w14:textId="77777777" w:rsidR="00C03A08" w:rsidRDefault="00C03A08" w:rsidP="00C03A08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14:paraId="26B028DF" w14:textId="77777777" w:rsidR="00C03A08" w:rsidRDefault="00C03A08" w:rsidP="00C03A08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tbl>
            <w:tblPr>
              <w:bidiVisual/>
              <w:tblW w:w="9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61"/>
            </w:tblGrid>
            <w:tr w:rsidR="00C03A08" w:rsidRPr="00F73AF0" w14:paraId="2D3ADF71" w14:textId="77777777" w:rsidTr="00CB593B">
              <w:trPr>
                <w:trHeight w:hRule="exact" w:val="3007"/>
              </w:trPr>
              <w:tc>
                <w:tcPr>
                  <w:tcW w:w="9461" w:type="dxa"/>
                </w:tcPr>
                <w:p w14:paraId="4F1CC3EF" w14:textId="77777777" w:rsidR="00C03A08" w:rsidRPr="00F94016" w:rsidRDefault="00C03A08" w:rsidP="00C03A08">
                  <w:pPr>
                    <w:jc w:val="center"/>
                    <w:rPr>
                      <w:rtl/>
                    </w:rPr>
                  </w:pPr>
                  <w:r w:rsidRPr="00F94016">
                    <w:rPr>
                      <w:rFonts w:hint="cs"/>
                      <w:rtl/>
                    </w:rPr>
                    <w:t>قائمة المراجع:</w:t>
                  </w:r>
                </w:p>
                <w:p w14:paraId="1D958842" w14:textId="77777777" w:rsidR="00C03A08" w:rsidRPr="00F94016" w:rsidRDefault="00C03A08" w:rsidP="00C03A08">
                  <w:pPr>
                    <w:bidi w:val="0"/>
                    <w:rPr>
                      <w:rFonts w:ascii="Sakkal Majalla" w:hAnsi="Sakkal Majalla" w:cs="Sakkal Majalla"/>
                      <w:i/>
                      <w:iCs/>
                      <w:rtl/>
                    </w:rPr>
                  </w:pPr>
                  <w:proofErr w:type="spellStart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>Bruneton</w:t>
                  </w:r>
                  <w:proofErr w:type="spellEnd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 xml:space="preserve"> J. 2009. </w:t>
                  </w:r>
                  <w:proofErr w:type="spellStart"/>
                  <w:proofErr w:type="gramStart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>Pharmacognosie</w:t>
                  </w:r>
                  <w:proofErr w:type="spellEnd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 xml:space="preserve"> :</w:t>
                  </w:r>
                  <w:proofErr w:type="gramEnd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 xml:space="preserve"> </w:t>
                  </w:r>
                  <w:proofErr w:type="spellStart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>phytochimie</w:t>
                  </w:r>
                  <w:proofErr w:type="spellEnd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 xml:space="preserve">, </w:t>
                  </w:r>
                  <w:proofErr w:type="spellStart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>plantes</w:t>
                  </w:r>
                  <w:proofErr w:type="spellEnd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 xml:space="preserve"> </w:t>
                  </w:r>
                  <w:proofErr w:type="spellStart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>médicinales</w:t>
                  </w:r>
                  <w:proofErr w:type="spellEnd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 xml:space="preserve">. 4è </w:t>
                  </w:r>
                  <w:proofErr w:type="spellStart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>éd</w:t>
                  </w:r>
                  <w:proofErr w:type="spellEnd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>. Éditions</w:t>
                  </w:r>
                </w:p>
                <w:p w14:paraId="0C991D0D" w14:textId="77777777" w:rsidR="00C03A08" w:rsidRDefault="00C03A08" w:rsidP="00C03A08">
                  <w:pPr>
                    <w:bidi w:val="0"/>
                    <w:rPr>
                      <w:rFonts w:ascii="Sakkal Majalla" w:hAnsi="Sakkal Majalla" w:cs="Sakkal Majalla"/>
                      <w:i/>
                      <w:iCs/>
                      <w:rtl/>
                      <w:lang w:val="fr-FR"/>
                    </w:rPr>
                  </w:pPr>
                  <w:proofErr w:type="spellStart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>Dewick</w:t>
                  </w:r>
                  <w:proofErr w:type="spellEnd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 xml:space="preserve"> M.P. 2009. Medicinal natural products – a biosynthetic approach. </w:t>
                  </w:r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>3è éd</w:t>
                  </w:r>
                </w:p>
                <w:p w14:paraId="68FC43BA" w14:textId="77777777" w:rsidR="00C03A08" w:rsidRPr="00F94016" w:rsidRDefault="00C03A08" w:rsidP="00C03A08">
                  <w:pPr>
                    <w:bidi w:val="0"/>
                    <w:rPr>
                      <w:rFonts w:ascii="Sakkal Majalla" w:hAnsi="Sakkal Majalla" w:cs="Sakkal Majalla"/>
                      <w:i/>
                      <w:iCs/>
                      <w:rtl/>
                    </w:rPr>
                  </w:pPr>
                </w:p>
                <w:p w14:paraId="30BF25C4" w14:textId="77777777" w:rsidR="00C03A08" w:rsidRPr="00F94016" w:rsidRDefault="00C03A08" w:rsidP="00C03A08">
                  <w:pPr>
                    <w:pStyle w:val="ListParagraph"/>
                    <w:tabs>
                      <w:tab w:val="left" w:pos="935"/>
                      <w:tab w:val="left" w:pos="1218"/>
                      <w:tab w:val="left" w:pos="1502"/>
                    </w:tabs>
                    <w:bidi w:val="0"/>
                    <w:ind w:left="0"/>
                    <w:rPr>
                      <w:rFonts w:ascii="Sakkal Majalla" w:hAnsi="Sakkal Majalla" w:cs="Sakkal Majalla"/>
                      <w:i/>
                      <w:iCs/>
                      <w:rtl/>
                    </w:rPr>
                  </w:pPr>
                  <w:proofErr w:type="spellStart"/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>Vercauteren</w:t>
                  </w:r>
                  <w:proofErr w:type="spellEnd"/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 xml:space="preserve"> </w:t>
                  </w:r>
                  <w:proofErr w:type="gramStart"/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>J.,</w:t>
                  </w:r>
                  <w:proofErr w:type="spellStart"/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>Vicor</w:t>
                  </w:r>
                  <w:proofErr w:type="spellEnd"/>
                  <w:proofErr w:type="gramEnd"/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 xml:space="preserve"> C., 2011:  Travaux Pratiques de Pharmacognosie , Les Substances Naturelles dans la  " Chaines du </w:t>
                  </w:r>
                  <w:proofErr w:type="spellStart"/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>Medicaments</w:t>
                  </w:r>
                  <w:proofErr w:type="spellEnd"/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>" , 2ere Partie: Utilisation</w:t>
                  </w:r>
                  <w:r w:rsidRPr="00F94016">
                    <w:rPr>
                      <w:rFonts w:ascii="Sakkal Majalla" w:hAnsi="Sakkal Majalla" w:cs="Sakkal Majalla"/>
                      <w:i/>
                      <w:iCs/>
                      <w:rtl/>
                    </w:rPr>
                    <w:t xml:space="preserve"> </w:t>
                  </w:r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>de 3eme année,</w:t>
                  </w:r>
                </w:p>
                <w:p w14:paraId="301898F6" w14:textId="77777777" w:rsidR="00C03A08" w:rsidRDefault="00C03A08" w:rsidP="00C03A08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Sakkal Majalla" w:hAnsi="Sakkal Majalla" w:cs="Sakkal Majalla"/>
                      <w:i/>
                      <w:iCs/>
                    </w:rPr>
                  </w:pPr>
                  <w:proofErr w:type="spellStart"/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>Trease</w:t>
                  </w:r>
                  <w:proofErr w:type="spellEnd"/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 xml:space="preserve"> and Evans Pharmacognosy, William C. Evans, Sa u </w:t>
                  </w:r>
                  <w:proofErr w:type="spellStart"/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>nders</w:t>
                  </w:r>
                  <w:proofErr w:type="spellEnd"/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 xml:space="preserve"> Elsevier, 2009, </w:t>
                  </w:r>
                  <w:proofErr w:type="spellStart"/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>si</w:t>
                  </w:r>
                  <w:proofErr w:type="spellEnd"/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 xml:space="preserve"> </w:t>
                  </w:r>
                  <w:proofErr w:type="spellStart"/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>xteenth</w:t>
                  </w:r>
                  <w:proofErr w:type="spellEnd"/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 xml:space="preserve"> ed., ISBN 978-0 -7020 -2934 - 9 </w:t>
                  </w:r>
                </w:p>
                <w:p w14:paraId="3AB0D728" w14:textId="77777777" w:rsidR="00C03A08" w:rsidRPr="00AE0F2E" w:rsidRDefault="00C03A08" w:rsidP="00C03A08">
                  <w:pPr>
                    <w:bidi w:val="0"/>
                    <w:rPr>
                      <w:rFonts w:ascii="Sakkal Majalla" w:hAnsi="Sakkal Majalla" w:cs="Sakkal Majalla"/>
                      <w:i/>
                      <w:iCs/>
                      <w:sz w:val="26"/>
                      <w:szCs w:val="26"/>
                    </w:rPr>
                  </w:pPr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>Atlas of Microscopy of Medicinal Plants, Culinary Herbs &amp; Spices, Betty P. Jackson Betty P. Jackson, and Derek W. SNOWDON, Belhaven press, London, 1990</w:t>
                  </w:r>
                </w:p>
              </w:tc>
            </w:tr>
          </w:tbl>
          <w:p w14:paraId="469AB796" w14:textId="77777777" w:rsidR="00C03A08" w:rsidRDefault="00C03A08" w:rsidP="00C03A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tbl>
            <w:tblPr>
              <w:bidiVisual/>
              <w:tblW w:w="9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61"/>
            </w:tblGrid>
            <w:tr w:rsidR="00C03A08" w:rsidRPr="00F73AF0" w14:paraId="69F634F2" w14:textId="77777777" w:rsidTr="00CB593B">
              <w:trPr>
                <w:trHeight w:hRule="exact" w:val="3007"/>
              </w:trPr>
              <w:tc>
                <w:tcPr>
                  <w:tcW w:w="9461" w:type="dxa"/>
                </w:tcPr>
                <w:p w14:paraId="3881BE8C" w14:textId="77777777" w:rsidR="00C03A08" w:rsidRPr="00F94016" w:rsidRDefault="00C03A08" w:rsidP="00C03A08">
                  <w:pPr>
                    <w:jc w:val="center"/>
                    <w:rPr>
                      <w:rtl/>
                    </w:rPr>
                  </w:pPr>
                  <w:r w:rsidRPr="00F94016">
                    <w:rPr>
                      <w:rFonts w:hint="cs"/>
                      <w:rtl/>
                    </w:rPr>
                    <w:t>قائمة المراجع:</w:t>
                  </w:r>
                </w:p>
                <w:p w14:paraId="6477DE85" w14:textId="77777777" w:rsidR="00C03A08" w:rsidRPr="00F94016" w:rsidRDefault="00C03A08" w:rsidP="00C03A08">
                  <w:pPr>
                    <w:bidi w:val="0"/>
                    <w:rPr>
                      <w:rFonts w:ascii="Sakkal Majalla" w:hAnsi="Sakkal Majalla" w:cs="Sakkal Majalla"/>
                      <w:i/>
                      <w:iCs/>
                      <w:rtl/>
                    </w:rPr>
                  </w:pPr>
                  <w:proofErr w:type="spellStart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>Bruneton</w:t>
                  </w:r>
                  <w:proofErr w:type="spellEnd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 xml:space="preserve"> J. 2009. </w:t>
                  </w:r>
                  <w:proofErr w:type="spellStart"/>
                  <w:proofErr w:type="gramStart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>Pharmacognosie</w:t>
                  </w:r>
                  <w:proofErr w:type="spellEnd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 xml:space="preserve"> :</w:t>
                  </w:r>
                  <w:proofErr w:type="gramEnd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 xml:space="preserve"> </w:t>
                  </w:r>
                  <w:proofErr w:type="spellStart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>phytochimie</w:t>
                  </w:r>
                  <w:proofErr w:type="spellEnd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 xml:space="preserve">, </w:t>
                  </w:r>
                  <w:proofErr w:type="spellStart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>plantes</w:t>
                  </w:r>
                  <w:proofErr w:type="spellEnd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 xml:space="preserve"> </w:t>
                  </w:r>
                  <w:proofErr w:type="spellStart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>médicinales</w:t>
                  </w:r>
                  <w:proofErr w:type="spellEnd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 xml:space="preserve">. 4è </w:t>
                  </w:r>
                  <w:proofErr w:type="spellStart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>éd</w:t>
                  </w:r>
                  <w:proofErr w:type="spellEnd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>. Éditions</w:t>
                  </w:r>
                </w:p>
                <w:p w14:paraId="65A0701A" w14:textId="77777777" w:rsidR="00C03A08" w:rsidRPr="00F94016" w:rsidRDefault="00C03A08" w:rsidP="00C03A08">
                  <w:pPr>
                    <w:bidi w:val="0"/>
                    <w:rPr>
                      <w:rFonts w:ascii="Sakkal Majalla" w:hAnsi="Sakkal Majalla" w:cs="Sakkal Majalla"/>
                      <w:i/>
                      <w:iCs/>
                      <w:rtl/>
                    </w:rPr>
                  </w:pPr>
                  <w:proofErr w:type="spellStart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>Dewick</w:t>
                  </w:r>
                  <w:proofErr w:type="spellEnd"/>
                  <w:r w:rsidRPr="00F94016">
                    <w:rPr>
                      <w:rFonts w:ascii="Sakkal Majalla" w:hAnsi="Sakkal Majalla" w:cs="Sakkal Majalla"/>
                      <w:i/>
                      <w:iCs/>
                    </w:rPr>
                    <w:t xml:space="preserve"> M.P. 2009. Medicinal natural products – a biosynthetic approach. </w:t>
                  </w:r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>3è éd</w:t>
                  </w:r>
                </w:p>
                <w:p w14:paraId="56F982D7" w14:textId="77777777" w:rsidR="00C03A08" w:rsidRPr="00F94016" w:rsidRDefault="00C03A08" w:rsidP="00C03A08">
                  <w:pPr>
                    <w:pStyle w:val="ListParagraph"/>
                    <w:tabs>
                      <w:tab w:val="left" w:pos="935"/>
                      <w:tab w:val="left" w:pos="1218"/>
                      <w:tab w:val="left" w:pos="1502"/>
                    </w:tabs>
                    <w:bidi w:val="0"/>
                    <w:ind w:left="0"/>
                    <w:rPr>
                      <w:rFonts w:ascii="Sakkal Majalla" w:hAnsi="Sakkal Majalla" w:cs="Sakkal Majalla"/>
                      <w:i/>
                      <w:iCs/>
                      <w:rtl/>
                    </w:rPr>
                  </w:pPr>
                  <w:proofErr w:type="spellStart"/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>Vercauteren</w:t>
                  </w:r>
                  <w:proofErr w:type="spellEnd"/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 xml:space="preserve"> </w:t>
                  </w:r>
                  <w:proofErr w:type="gramStart"/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>J.,</w:t>
                  </w:r>
                  <w:proofErr w:type="spellStart"/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>Vicor</w:t>
                  </w:r>
                  <w:proofErr w:type="spellEnd"/>
                  <w:proofErr w:type="gramEnd"/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 xml:space="preserve"> C., 2011:  Travaux Pratiques de Pharmacognosie , Les Substances Naturelles dans la  " Chaines du </w:t>
                  </w:r>
                  <w:proofErr w:type="spellStart"/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>Medicaments</w:t>
                  </w:r>
                  <w:proofErr w:type="spellEnd"/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>" , 2ere Partie: Utilisation</w:t>
                  </w:r>
                  <w:r w:rsidRPr="00F94016">
                    <w:rPr>
                      <w:rFonts w:ascii="Sakkal Majalla" w:hAnsi="Sakkal Majalla" w:cs="Sakkal Majalla"/>
                      <w:i/>
                      <w:iCs/>
                      <w:rtl/>
                    </w:rPr>
                    <w:t xml:space="preserve"> </w:t>
                  </w:r>
                  <w:r w:rsidRPr="007D23A1">
                    <w:rPr>
                      <w:rFonts w:ascii="Sakkal Majalla" w:hAnsi="Sakkal Majalla" w:cs="Sakkal Majalla"/>
                      <w:i/>
                      <w:iCs/>
                      <w:lang w:val="fr-FR"/>
                    </w:rPr>
                    <w:t>de 3eme année,</w:t>
                  </w:r>
                </w:p>
                <w:p w14:paraId="3D1D5370" w14:textId="77777777" w:rsidR="00C03A08" w:rsidRDefault="00C03A08" w:rsidP="00C03A08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Sakkal Majalla" w:hAnsi="Sakkal Majalla" w:cs="Sakkal Majalla"/>
                      <w:i/>
                      <w:iCs/>
                    </w:rPr>
                  </w:pPr>
                  <w:proofErr w:type="spellStart"/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>Trease</w:t>
                  </w:r>
                  <w:proofErr w:type="spellEnd"/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 xml:space="preserve"> and Evans Pharmacognosy, William C. Evans, Sa u </w:t>
                  </w:r>
                  <w:proofErr w:type="spellStart"/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>nders</w:t>
                  </w:r>
                  <w:proofErr w:type="spellEnd"/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 xml:space="preserve"> Elsevier, 2009, </w:t>
                  </w:r>
                  <w:proofErr w:type="spellStart"/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>si</w:t>
                  </w:r>
                  <w:proofErr w:type="spellEnd"/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 xml:space="preserve"> </w:t>
                  </w:r>
                  <w:proofErr w:type="spellStart"/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>xteenth</w:t>
                  </w:r>
                  <w:proofErr w:type="spellEnd"/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 xml:space="preserve"> ed., ISBN 978-0 -7020 -2934 - 9 </w:t>
                  </w:r>
                </w:p>
                <w:p w14:paraId="2916C7A8" w14:textId="77777777" w:rsidR="00C03A08" w:rsidRPr="00AE0F2E" w:rsidRDefault="00C03A08" w:rsidP="00C03A08">
                  <w:pPr>
                    <w:bidi w:val="0"/>
                    <w:rPr>
                      <w:rFonts w:ascii="Sakkal Majalla" w:hAnsi="Sakkal Majalla" w:cs="Sakkal Majalla"/>
                      <w:i/>
                      <w:iCs/>
                      <w:sz w:val="26"/>
                      <w:szCs w:val="26"/>
                    </w:rPr>
                  </w:pPr>
                  <w:r w:rsidRPr="00DF6F25">
                    <w:rPr>
                      <w:rFonts w:ascii="Sakkal Majalla" w:hAnsi="Sakkal Majalla" w:cs="Sakkal Majalla"/>
                      <w:i/>
                      <w:iCs/>
                    </w:rPr>
                    <w:t>Atlas of Microscopy of Medicinal Plants, Culinary Herbs &amp; Spices, Betty P. Jackson Betty P. Jackson, and Derek W. SNOWDON, Belhaven press, London, 1990</w:t>
                  </w:r>
                </w:p>
              </w:tc>
            </w:tr>
          </w:tbl>
          <w:p w14:paraId="255A1B9B" w14:textId="77777777" w:rsidR="00C03A08" w:rsidRDefault="00C03A08" w:rsidP="00C03A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14:paraId="0CE1CE2C" w14:textId="77777777" w:rsidR="00C03A08" w:rsidRPr="00C03A08" w:rsidRDefault="00C03A08" w:rsidP="00C03A08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572800" w:rsidRPr="00F73AF0" w14:paraId="0FA9A823" w14:textId="77777777" w:rsidTr="00956EFE">
        <w:trPr>
          <w:trHeight w:hRule="exact" w:val="3007"/>
        </w:trPr>
        <w:tc>
          <w:tcPr>
            <w:tcW w:w="9461" w:type="dxa"/>
          </w:tcPr>
          <w:p w14:paraId="52392253" w14:textId="77777777" w:rsidR="00956EFE" w:rsidRPr="00F94016" w:rsidRDefault="00956EFE" w:rsidP="00956EFE">
            <w:pPr>
              <w:jc w:val="center"/>
              <w:rPr>
                <w:rtl/>
              </w:rPr>
            </w:pPr>
            <w:r w:rsidRPr="00F94016">
              <w:rPr>
                <w:rFonts w:hint="cs"/>
                <w:rtl/>
              </w:rPr>
              <w:t>قائمة المراجع:</w:t>
            </w:r>
          </w:p>
          <w:p w14:paraId="74E6A291" w14:textId="77777777" w:rsidR="00956EFE" w:rsidRPr="00F94016" w:rsidRDefault="00956EFE" w:rsidP="00956EFE">
            <w:pPr>
              <w:bidi w:val="0"/>
              <w:rPr>
                <w:rFonts w:ascii="Sakkal Majalla" w:hAnsi="Sakkal Majalla" w:cs="Sakkal Majalla"/>
                <w:i/>
                <w:iCs/>
                <w:rtl/>
              </w:rPr>
            </w:pPr>
            <w:proofErr w:type="spellStart"/>
            <w:r w:rsidRPr="00F94016">
              <w:rPr>
                <w:rFonts w:ascii="Sakkal Majalla" w:hAnsi="Sakkal Majalla" w:cs="Sakkal Majalla"/>
                <w:i/>
                <w:iCs/>
              </w:rPr>
              <w:t>Bruneton</w:t>
            </w:r>
            <w:proofErr w:type="spellEnd"/>
            <w:r w:rsidRPr="00F94016">
              <w:rPr>
                <w:rFonts w:ascii="Sakkal Majalla" w:hAnsi="Sakkal Majalla" w:cs="Sakkal Majalla"/>
                <w:i/>
                <w:iCs/>
              </w:rPr>
              <w:t xml:space="preserve"> J. 2009. </w:t>
            </w:r>
            <w:proofErr w:type="spellStart"/>
            <w:proofErr w:type="gramStart"/>
            <w:r w:rsidRPr="00F94016">
              <w:rPr>
                <w:rFonts w:ascii="Sakkal Majalla" w:hAnsi="Sakkal Majalla" w:cs="Sakkal Majalla"/>
                <w:i/>
                <w:iCs/>
              </w:rPr>
              <w:t>Pharmacognosie</w:t>
            </w:r>
            <w:proofErr w:type="spellEnd"/>
            <w:r w:rsidRPr="00F94016">
              <w:rPr>
                <w:rFonts w:ascii="Sakkal Majalla" w:hAnsi="Sakkal Majalla" w:cs="Sakkal Majalla"/>
                <w:i/>
                <w:iCs/>
              </w:rPr>
              <w:t xml:space="preserve"> :</w:t>
            </w:r>
            <w:proofErr w:type="gramEnd"/>
            <w:r w:rsidRPr="00F94016">
              <w:rPr>
                <w:rFonts w:ascii="Sakkal Majalla" w:hAnsi="Sakkal Majalla" w:cs="Sakkal Majalla"/>
                <w:i/>
                <w:iCs/>
              </w:rPr>
              <w:t xml:space="preserve"> </w:t>
            </w:r>
            <w:proofErr w:type="spellStart"/>
            <w:r w:rsidRPr="00F94016">
              <w:rPr>
                <w:rFonts w:ascii="Sakkal Majalla" w:hAnsi="Sakkal Majalla" w:cs="Sakkal Majalla"/>
                <w:i/>
                <w:iCs/>
              </w:rPr>
              <w:t>phytochimie</w:t>
            </w:r>
            <w:proofErr w:type="spellEnd"/>
            <w:r w:rsidRPr="00F94016">
              <w:rPr>
                <w:rFonts w:ascii="Sakkal Majalla" w:hAnsi="Sakkal Majalla" w:cs="Sakkal Majalla"/>
                <w:i/>
                <w:iCs/>
              </w:rPr>
              <w:t xml:space="preserve">, </w:t>
            </w:r>
            <w:proofErr w:type="spellStart"/>
            <w:r w:rsidRPr="00F94016">
              <w:rPr>
                <w:rFonts w:ascii="Sakkal Majalla" w:hAnsi="Sakkal Majalla" w:cs="Sakkal Majalla"/>
                <w:i/>
                <w:iCs/>
              </w:rPr>
              <w:t>plantes</w:t>
            </w:r>
            <w:proofErr w:type="spellEnd"/>
            <w:r w:rsidRPr="00F94016">
              <w:rPr>
                <w:rFonts w:ascii="Sakkal Majalla" w:hAnsi="Sakkal Majalla" w:cs="Sakkal Majalla"/>
                <w:i/>
                <w:iCs/>
              </w:rPr>
              <w:t xml:space="preserve"> </w:t>
            </w:r>
            <w:proofErr w:type="spellStart"/>
            <w:r w:rsidRPr="00F94016">
              <w:rPr>
                <w:rFonts w:ascii="Sakkal Majalla" w:hAnsi="Sakkal Majalla" w:cs="Sakkal Majalla"/>
                <w:i/>
                <w:iCs/>
              </w:rPr>
              <w:t>médicinales</w:t>
            </w:r>
            <w:proofErr w:type="spellEnd"/>
            <w:r w:rsidRPr="00F94016">
              <w:rPr>
                <w:rFonts w:ascii="Sakkal Majalla" w:hAnsi="Sakkal Majalla" w:cs="Sakkal Majalla"/>
                <w:i/>
                <w:iCs/>
              </w:rPr>
              <w:t xml:space="preserve">. 4è </w:t>
            </w:r>
            <w:proofErr w:type="spellStart"/>
            <w:r w:rsidRPr="00F94016">
              <w:rPr>
                <w:rFonts w:ascii="Sakkal Majalla" w:hAnsi="Sakkal Majalla" w:cs="Sakkal Majalla"/>
                <w:i/>
                <w:iCs/>
              </w:rPr>
              <w:t>éd</w:t>
            </w:r>
            <w:proofErr w:type="spellEnd"/>
            <w:r w:rsidRPr="00F94016">
              <w:rPr>
                <w:rFonts w:ascii="Sakkal Majalla" w:hAnsi="Sakkal Majalla" w:cs="Sakkal Majalla"/>
                <w:i/>
                <w:iCs/>
              </w:rPr>
              <w:t>. Éditions</w:t>
            </w:r>
          </w:p>
          <w:p w14:paraId="4EF77B67" w14:textId="77777777" w:rsidR="00956EFE" w:rsidRPr="00F94016" w:rsidRDefault="00956EFE" w:rsidP="00956EFE">
            <w:pPr>
              <w:bidi w:val="0"/>
              <w:rPr>
                <w:rFonts w:ascii="Sakkal Majalla" w:hAnsi="Sakkal Majalla" w:cs="Sakkal Majalla"/>
                <w:i/>
                <w:iCs/>
                <w:rtl/>
              </w:rPr>
            </w:pPr>
            <w:proofErr w:type="spellStart"/>
            <w:r w:rsidRPr="00F94016">
              <w:rPr>
                <w:rFonts w:ascii="Sakkal Majalla" w:hAnsi="Sakkal Majalla" w:cs="Sakkal Majalla"/>
                <w:i/>
                <w:iCs/>
              </w:rPr>
              <w:t>Dewick</w:t>
            </w:r>
            <w:proofErr w:type="spellEnd"/>
            <w:r w:rsidRPr="00F94016">
              <w:rPr>
                <w:rFonts w:ascii="Sakkal Majalla" w:hAnsi="Sakkal Majalla" w:cs="Sakkal Majalla"/>
                <w:i/>
                <w:iCs/>
              </w:rPr>
              <w:t xml:space="preserve"> M.P. 2009. Medicinal natural products – a biosynthetic approach. </w:t>
            </w:r>
            <w:r w:rsidRPr="007D23A1">
              <w:rPr>
                <w:rFonts w:ascii="Sakkal Majalla" w:hAnsi="Sakkal Majalla" w:cs="Sakkal Majalla"/>
                <w:i/>
                <w:iCs/>
                <w:lang w:val="fr-FR"/>
              </w:rPr>
              <w:t>3è éd</w:t>
            </w:r>
          </w:p>
          <w:p w14:paraId="0745F976" w14:textId="77777777" w:rsidR="00956EFE" w:rsidRPr="00F94016" w:rsidRDefault="00956EFE" w:rsidP="00956EFE">
            <w:pPr>
              <w:pStyle w:val="ListParagraph"/>
              <w:tabs>
                <w:tab w:val="left" w:pos="935"/>
                <w:tab w:val="left" w:pos="1218"/>
                <w:tab w:val="left" w:pos="1502"/>
              </w:tabs>
              <w:bidi w:val="0"/>
              <w:ind w:left="0"/>
              <w:rPr>
                <w:rFonts w:ascii="Sakkal Majalla" w:hAnsi="Sakkal Majalla" w:cs="Sakkal Majalla"/>
                <w:i/>
                <w:iCs/>
                <w:rtl/>
              </w:rPr>
            </w:pPr>
            <w:proofErr w:type="spellStart"/>
            <w:r w:rsidRPr="007D23A1">
              <w:rPr>
                <w:rFonts w:ascii="Sakkal Majalla" w:hAnsi="Sakkal Majalla" w:cs="Sakkal Majalla"/>
                <w:i/>
                <w:iCs/>
                <w:lang w:val="fr-FR"/>
              </w:rPr>
              <w:t>Vercauteren</w:t>
            </w:r>
            <w:proofErr w:type="spellEnd"/>
            <w:r w:rsidRPr="007D23A1">
              <w:rPr>
                <w:rFonts w:ascii="Sakkal Majalla" w:hAnsi="Sakkal Majalla" w:cs="Sakkal Majalla"/>
                <w:i/>
                <w:iCs/>
                <w:lang w:val="fr-FR"/>
              </w:rPr>
              <w:t xml:space="preserve"> </w:t>
            </w:r>
            <w:proofErr w:type="gramStart"/>
            <w:r w:rsidRPr="007D23A1">
              <w:rPr>
                <w:rFonts w:ascii="Sakkal Majalla" w:hAnsi="Sakkal Majalla" w:cs="Sakkal Majalla"/>
                <w:i/>
                <w:iCs/>
                <w:lang w:val="fr-FR"/>
              </w:rPr>
              <w:t>J.,</w:t>
            </w:r>
            <w:proofErr w:type="spellStart"/>
            <w:r w:rsidRPr="007D23A1">
              <w:rPr>
                <w:rFonts w:ascii="Sakkal Majalla" w:hAnsi="Sakkal Majalla" w:cs="Sakkal Majalla"/>
                <w:i/>
                <w:iCs/>
                <w:lang w:val="fr-FR"/>
              </w:rPr>
              <w:t>Vicor</w:t>
            </w:r>
            <w:proofErr w:type="spellEnd"/>
            <w:proofErr w:type="gramEnd"/>
            <w:r w:rsidRPr="007D23A1">
              <w:rPr>
                <w:rFonts w:ascii="Sakkal Majalla" w:hAnsi="Sakkal Majalla" w:cs="Sakkal Majalla"/>
                <w:i/>
                <w:iCs/>
                <w:lang w:val="fr-FR"/>
              </w:rPr>
              <w:t xml:space="preserve"> C., 2011:  Travaux Pratiques de Pharmacognosie , Les Substances Naturelles dans la  " Chaines du </w:t>
            </w:r>
            <w:proofErr w:type="spellStart"/>
            <w:r w:rsidRPr="007D23A1">
              <w:rPr>
                <w:rFonts w:ascii="Sakkal Majalla" w:hAnsi="Sakkal Majalla" w:cs="Sakkal Majalla"/>
                <w:i/>
                <w:iCs/>
                <w:lang w:val="fr-FR"/>
              </w:rPr>
              <w:t>Medicaments</w:t>
            </w:r>
            <w:proofErr w:type="spellEnd"/>
            <w:r w:rsidRPr="007D23A1">
              <w:rPr>
                <w:rFonts w:ascii="Sakkal Majalla" w:hAnsi="Sakkal Majalla" w:cs="Sakkal Majalla"/>
                <w:i/>
                <w:iCs/>
                <w:lang w:val="fr-FR"/>
              </w:rPr>
              <w:t>" , 2ere Partie: Utilisation</w:t>
            </w:r>
            <w:r w:rsidRPr="00F94016">
              <w:rPr>
                <w:rFonts w:ascii="Sakkal Majalla" w:hAnsi="Sakkal Majalla" w:cs="Sakkal Majalla"/>
                <w:i/>
                <w:iCs/>
                <w:rtl/>
              </w:rPr>
              <w:t xml:space="preserve"> </w:t>
            </w:r>
            <w:r w:rsidRPr="007D23A1">
              <w:rPr>
                <w:rFonts w:ascii="Sakkal Majalla" w:hAnsi="Sakkal Majalla" w:cs="Sakkal Majalla"/>
                <w:i/>
                <w:iCs/>
                <w:lang w:val="fr-FR"/>
              </w:rPr>
              <w:t>de 3eme année,</w:t>
            </w:r>
          </w:p>
          <w:p w14:paraId="227FCB95" w14:textId="77777777" w:rsidR="00956EFE" w:rsidRDefault="00956EFE" w:rsidP="00956EFE">
            <w:pPr>
              <w:autoSpaceDE w:val="0"/>
              <w:autoSpaceDN w:val="0"/>
              <w:bidi w:val="0"/>
              <w:adjustRightInd w:val="0"/>
              <w:rPr>
                <w:rFonts w:ascii="Sakkal Majalla" w:hAnsi="Sakkal Majalla" w:cs="Sakkal Majalla"/>
                <w:i/>
                <w:iCs/>
              </w:rPr>
            </w:pPr>
            <w:proofErr w:type="spellStart"/>
            <w:r w:rsidRPr="00DF6F25">
              <w:rPr>
                <w:rFonts w:ascii="Sakkal Majalla" w:hAnsi="Sakkal Majalla" w:cs="Sakkal Majalla"/>
                <w:i/>
                <w:iCs/>
              </w:rPr>
              <w:t>Trease</w:t>
            </w:r>
            <w:proofErr w:type="spellEnd"/>
            <w:r w:rsidRPr="00DF6F25">
              <w:rPr>
                <w:rFonts w:ascii="Sakkal Majalla" w:hAnsi="Sakkal Majalla" w:cs="Sakkal Majalla"/>
                <w:i/>
                <w:iCs/>
              </w:rPr>
              <w:t xml:space="preserve"> and Evans Pharmacognosy, William C. Evans, Sa u </w:t>
            </w:r>
            <w:proofErr w:type="spellStart"/>
            <w:r w:rsidRPr="00DF6F25">
              <w:rPr>
                <w:rFonts w:ascii="Sakkal Majalla" w:hAnsi="Sakkal Majalla" w:cs="Sakkal Majalla"/>
                <w:i/>
                <w:iCs/>
              </w:rPr>
              <w:t>nders</w:t>
            </w:r>
            <w:proofErr w:type="spellEnd"/>
            <w:r w:rsidRPr="00DF6F25">
              <w:rPr>
                <w:rFonts w:ascii="Sakkal Majalla" w:hAnsi="Sakkal Majalla" w:cs="Sakkal Majalla"/>
                <w:i/>
                <w:iCs/>
              </w:rPr>
              <w:t xml:space="preserve"> Elsevier, 2009, </w:t>
            </w:r>
            <w:proofErr w:type="spellStart"/>
            <w:r w:rsidRPr="00DF6F25">
              <w:rPr>
                <w:rFonts w:ascii="Sakkal Majalla" w:hAnsi="Sakkal Majalla" w:cs="Sakkal Majalla"/>
                <w:i/>
                <w:iCs/>
              </w:rPr>
              <w:t>si</w:t>
            </w:r>
            <w:proofErr w:type="spellEnd"/>
            <w:r w:rsidRPr="00DF6F25">
              <w:rPr>
                <w:rFonts w:ascii="Sakkal Majalla" w:hAnsi="Sakkal Majalla" w:cs="Sakkal Majalla"/>
                <w:i/>
                <w:iCs/>
              </w:rPr>
              <w:t xml:space="preserve"> </w:t>
            </w:r>
            <w:proofErr w:type="spellStart"/>
            <w:r w:rsidRPr="00DF6F25">
              <w:rPr>
                <w:rFonts w:ascii="Sakkal Majalla" w:hAnsi="Sakkal Majalla" w:cs="Sakkal Majalla"/>
                <w:i/>
                <w:iCs/>
              </w:rPr>
              <w:t>xteenth</w:t>
            </w:r>
            <w:proofErr w:type="spellEnd"/>
            <w:r w:rsidRPr="00DF6F25">
              <w:rPr>
                <w:rFonts w:ascii="Sakkal Majalla" w:hAnsi="Sakkal Majalla" w:cs="Sakkal Majalla"/>
                <w:i/>
                <w:iCs/>
              </w:rPr>
              <w:t xml:space="preserve"> ed., ISBN 978-0 -7020 -2934 - 9 </w:t>
            </w:r>
          </w:p>
          <w:p w14:paraId="1BB1D0F3" w14:textId="77777777" w:rsidR="00572800" w:rsidRPr="00AE0F2E" w:rsidRDefault="00956EFE" w:rsidP="00956EFE">
            <w:pPr>
              <w:bidi w:val="0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  <w:r w:rsidRPr="00DF6F25">
              <w:rPr>
                <w:rFonts w:ascii="Sakkal Majalla" w:hAnsi="Sakkal Majalla" w:cs="Sakkal Majalla"/>
                <w:i/>
                <w:iCs/>
              </w:rPr>
              <w:t>Atlas of Microscopy of Medicinal Plants, Culinary Herbs &amp; Spices, Betty P. Jackson Betty P. Jackson, and Derek W. SNOWDON, Belhaven press, London, 1990</w:t>
            </w:r>
          </w:p>
        </w:tc>
      </w:tr>
    </w:tbl>
    <w:p w14:paraId="7AA4007B" w14:textId="77777777" w:rsidR="00D41641" w:rsidRDefault="00D41641" w:rsidP="00D41641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0B3709D" w14:textId="6B2A5D46" w:rsidR="00572800" w:rsidRPr="00F73AF0" w:rsidRDefault="00D41641" w:rsidP="00D41641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</w:t>
      </w:r>
      <w:r w:rsidR="00211CB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="00211CB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1C78E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</w:t>
      </w:r>
      <w:r w:rsidR="00211CB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>عميد كلية الصيدلة</w:t>
      </w:r>
    </w:p>
    <w:p w14:paraId="7EF3E94F" w14:textId="77777777" w:rsidR="00D41641" w:rsidRDefault="00D41641" w:rsidP="00211CB2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</w:t>
      </w:r>
      <w:r w:rsidR="00211CB2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</w:t>
      </w:r>
    </w:p>
    <w:p w14:paraId="6E4A7754" w14:textId="0B943176" w:rsidR="00572800" w:rsidRPr="00F73AF0" w:rsidRDefault="00D41641" w:rsidP="00DC5F1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</w:t>
      </w:r>
      <w:r w:rsidR="00211CB2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</w:t>
      </w:r>
      <w:r w:rsidR="001C78E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</w:t>
      </w:r>
      <w:r w:rsidR="00211CB2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</w:t>
      </w:r>
      <w:r w:rsidR="001C78E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</w:t>
      </w:r>
      <w:r w:rsidR="0002512E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</w:t>
      </w:r>
      <w:r w:rsidR="00211CB2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02512E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</w:t>
      </w:r>
    </w:p>
    <w:p w14:paraId="39D0D205" w14:textId="398FBB86" w:rsidR="00F140D5" w:rsidRPr="00F73AF0" w:rsidRDefault="00211CB2">
      <w:pPr>
        <w:rPr>
          <w:rFonts w:ascii="Sakkal Majalla" w:hAnsi="Sakkal Majalla" w:cs="Sakkal Majalla"/>
          <w:sz w:val="26"/>
          <w:szCs w:val="26"/>
          <w:lang w:bidi="ar-SY"/>
        </w:rPr>
      </w:pPr>
      <w:r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  </w:t>
      </w:r>
      <w:r w:rsidR="001C78E0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 </w:t>
      </w:r>
    </w:p>
    <w:sectPr w:rsidR="00F140D5" w:rsidRPr="00F73AF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E448" w14:textId="77777777" w:rsidR="00295016" w:rsidRDefault="00295016" w:rsidP="00F226D2">
      <w:r>
        <w:separator/>
      </w:r>
    </w:p>
  </w:endnote>
  <w:endnote w:type="continuationSeparator" w:id="0">
    <w:p w14:paraId="15627D5D" w14:textId="77777777" w:rsidR="00295016" w:rsidRDefault="00295016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43FE" w14:textId="77777777" w:rsidR="00295016" w:rsidRDefault="00295016" w:rsidP="00F226D2">
      <w:r>
        <w:separator/>
      </w:r>
    </w:p>
  </w:footnote>
  <w:footnote w:type="continuationSeparator" w:id="0">
    <w:p w14:paraId="15FBB488" w14:textId="77777777" w:rsidR="00295016" w:rsidRDefault="00295016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E939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84A050E" wp14:editId="7AB0EB1C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8BC"/>
    <w:multiLevelType w:val="hybridMultilevel"/>
    <w:tmpl w:val="CBDAF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343C5"/>
    <w:multiLevelType w:val="hybridMultilevel"/>
    <w:tmpl w:val="235A9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2BEA81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84259"/>
    <w:multiLevelType w:val="hybridMultilevel"/>
    <w:tmpl w:val="35008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432544">
    <w:abstractNumId w:val="2"/>
  </w:num>
  <w:num w:numId="2" w16cid:durableId="1307904044">
    <w:abstractNumId w:val="6"/>
  </w:num>
  <w:num w:numId="3" w16cid:durableId="1792048909">
    <w:abstractNumId w:val="3"/>
  </w:num>
  <w:num w:numId="4" w16cid:durableId="524293057">
    <w:abstractNumId w:val="1"/>
  </w:num>
  <w:num w:numId="5" w16cid:durableId="1181167014">
    <w:abstractNumId w:val="4"/>
  </w:num>
  <w:num w:numId="6" w16cid:durableId="48463684">
    <w:abstractNumId w:val="0"/>
  </w:num>
  <w:num w:numId="7" w16cid:durableId="782186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2512E"/>
    <w:rsid w:val="000C26A2"/>
    <w:rsid w:val="000E027B"/>
    <w:rsid w:val="001C78E0"/>
    <w:rsid w:val="00211CB2"/>
    <w:rsid w:val="00295016"/>
    <w:rsid w:val="002C4DEC"/>
    <w:rsid w:val="003E3730"/>
    <w:rsid w:val="003E4B85"/>
    <w:rsid w:val="00415D47"/>
    <w:rsid w:val="0044592D"/>
    <w:rsid w:val="00505CA3"/>
    <w:rsid w:val="00572800"/>
    <w:rsid w:val="00595342"/>
    <w:rsid w:val="005E4E7B"/>
    <w:rsid w:val="00652561"/>
    <w:rsid w:val="006670D7"/>
    <w:rsid w:val="006706CD"/>
    <w:rsid w:val="006D67F0"/>
    <w:rsid w:val="00755053"/>
    <w:rsid w:val="007B5483"/>
    <w:rsid w:val="008244AE"/>
    <w:rsid w:val="0083797F"/>
    <w:rsid w:val="0089019F"/>
    <w:rsid w:val="00907089"/>
    <w:rsid w:val="00911758"/>
    <w:rsid w:val="00931828"/>
    <w:rsid w:val="00956EFE"/>
    <w:rsid w:val="009A50DA"/>
    <w:rsid w:val="009D7116"/>
    <w:rsid w:val="00AE0F2E"/>
    <w:rsid w:val="00BB3390"/>
    <w:rsid w:val="00C03A08"/>
    <w:rsid w:val="00C20533"/>
    <w:rsid w:val="00C55DE9"/>
    <w:rsid w:val="00C702B6"/>
    <w:rsid w:val="00C87A4F"/>
    <w:rsid w:val="00C929B3"/>
    <w:rsid w:val="00D25B0D"/>
    <w:rsid w:val="00D41641"/>
    <w:rsid w:val="00DC5F10"/>
    <w:rsid w:val="00E13743"/>
    <w:rsid w:val="00EE3530"/>
    <w:rsid w:val="00EF5D0B"/>
    <w:rsid w:val="00F226D2"/>
    <w:rsid w:val="00F73AF0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6CD93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A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7951">
                  <w:marLeft w:val="0"/>
                  <w:marRight w:val="0"/>
                  <w:marTop w:val="0"/>
                  <w:marBottom w:val="0"/>
                  <w:divBdr>
                    <w:top w:val="single" w:sz="2" w:space="8" w:color="BBBBBB"/>
                    <w:left w:val="single" w:sz="2" w:space="11" w:color="BBBBBB"/>
                    <w:bottom w:val="single" w:sz="2" w:space="8" w:color="BBBBBB"/>
                    <w:right w:val="single" w:sz="2" w:space="11" w:color="BBBBBB"/>
                  </w:divBdr>
                  <w:divsChild>
                    <w:div w:id="1051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38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FCFCF"/>
                                <w:left w:val="single" w:sz="6" w:space="11" w:color="CFCFCF"/>
                                <w:bottom w:val="single" w:sz="6" w:space="8" w:color="CFCFCF"/>
                                <w:right w:val="single" w:sz="6" w:space="11" w:color="CFCFCF"/>
                              </w:divBdr>
                              <w:divsChild>
                                <w:div w:id="18350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92584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753190">
                                          <w:marLeft w:val="0"/>
                                          <w:marRight w:val="6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8242">
                  <w:marLeft w:val="0"/>
                  <w:marRight w:val="0"/>
                  <w:marTop w:val="0"/>
                  <w:marBottom w:val="0"/>
                  <w:divBdr>
                    <w:top w:val="single" w:sz="2" w:space="8" w:color="BBBBBB"/>
                    <w:left w:val="single" w:sz="2" w:space="11" w:color="BBBBBB"/>
                    <w:bottom w:val="single" w:sz="2" w:space="8" w:color="BBBBBB"/>
                    <w:right w:val="single" w:sz="2" w:space="11" w:color="BBBBBB"/>
                  </w:divBdr>
                  <w:divsChild>
                    <w:div w:id="1681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21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FCFCF"/>
                                <w:left w:val="single" w:sz="6" w:space="11" w:color="CFCFCF"/>
                                <w:bottom w:val="single" w:sz="6" w:space="8" w:color="CFCFCF"/>
                                <w:right w:val="single" w:sz="6" w:space="11" w:color="CFCFCF"/>
                              </w:divBdr>
                              <w:divsChild>
                                <w:div w:id="7318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25443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2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010361">
                                          <w:marLeft w:val="0"/>
                                          <w:marRight w:val="6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3FB5-A1DA-4BF7-B45F-7D912199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37</cp:revision>
  <cp:lastPrinted>2022-05-25T07:03:00Z</cp:lastPrinted>
  <dcterms:created xsi:type="dcterms:W3CDTF">2018-07-17T11:35:00Z</dcterms:created>
  <dcterms:modified xsi:type="dcterms:W3CDTF">2022-05-25T07:03:00Z</dcterms:modified>
</cp:coreProperties>
</file>