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F5DF" w14:textId="77777777" w:rsidR="00572800" w:rsidRPr="00F73AF0" w:rsidRDefault="00572800" w:rsidP="0053393A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255E" wp14:editId="23C86F27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A8FDB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0EF6DCEC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2E9F32B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C6A8ED9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65F1EEE5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F86052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3808495" w14:textId="77777777" w:rsidR="00572800" w:rsidRPr="00F73AF0" w:rsidRDefault="00CD64D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التقانة الحيوية</w:t>
            </w:r>
          </w:p>
        </w:tc>
        <w:tc>
          <w:tcPr>
            <w:tcW w:w="1991" w:type="dxa"/>
            <w:gridSpan w:val="2"/>
          </w:tcPr>
          <w:p w14:paraId="346B12AF" w14:textId="77777777" w:rsidR="00572800" w:rsidRPr="00F73AF0" w:rsidRDefault="00572800" w:rsidP="00CC486C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0AB89327" w14:textId="18CDE3A8" w:rsidR="00572800" w:rsidRPr="008B0D49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8B0D4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CPPH307</w:t>
            </w:r>
          </w:p>
        </w:tc>
      </w:tr>
      <w:tr w:rsidR="00572800" w:rsidRPr="00F73AF0" w14:paraId="37482282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D66BC15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CD64D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266" w:type="dxa"/>
          </w:tcPr>
          <w:p w14:paraId="394A32E4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CD64D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6E8F36AF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F07032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- </w:t>
            </w:r>
          </w:p>
        </w:tc>
        <w:tc>
          <w:tcPr>
            <w:tcW w:w="1991" w:type="dxa"/>
            <w:gridSpan w:val="2"/>
          </w:tcPr>
          <w:p w14:paraId="0731B9F5" w14:textId="77777777" w:rsidR="00572800" w:rsidRPr="00F73AF0" w:rsidRDefault="00572800" w:rsidP="00F07032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  <w:r w:rsidR="00F07032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1903" w:type="dxa"/>
          </w:tcPr>
          <w:p w14:paraId="19B7B284" w14:textId="77777777" w:rsidR="00572800" w:rsidRPr="00F73AF0" w:rsidRDefault="00CD64D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بيولوجية جزيئية</w:t>
            </w:r>
          </w:p>
        </w:tc>
      </w:tr>
      <w:tr w:rsidR="00572800" w:rsidRPr="00F73AF0" w14:paraId="5DD3327D" w14:textId="77777777" w:rsidTr="00BB3390">
        <w:trPr>
          <w:trHeight w:val="265"/>
        </w:trPr>
        <w:tc>
          <w:tcPr>
            <w:tcW w:w="3425" w:type="dxa"/>
            <w:gridSpan w:val="3"/>
          </w:tcPr>
          <w:p w14:paraId="6560A3AD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774048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48DDAED7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7B89501C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F070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CD64D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9</w:t>
            </w:r>
          </w:p>
        </w:tc>
      </w:tr>
    </w:tbl>
    <w:p w14:paraId="0A44CA0B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1F5C8662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C07B94D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6DE05715" w14:textId="77777777" w:rsidTr="00F73AF0">
        <w:trPr>
          <w:trHeight w:val="466"/>
        </w:trPr>
        <w:tc>
          <w:tcPr>
            <w:tcW w:w="9355" w:type="dxa"/>
          </w:tcPr>
          <w:p w14:paraId="3B9C150D" w14:textId="77777777" w:rsidR="00572800" w:rsidRPr="00F73AF0" w:rsidRDefault="00652561" w:rsidP="00F07032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07032">
              <w:rPr>
                <w:rFonts w:ascii="Sakkal Majalla" w:hAnsi="Sakkal Majalla" w:cs="Sakkal Majalla" w:hint="cs"/>
                <w:sz w:val="26"/>
                <w:szCs w:val="26"/>
                <w:rtl/>
              </w:rPr>
              <w:t>يهتم هذا المقرر ب</w:t>
            </w:r>
            <w:r w:rsidR="00CD64D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التعريف بعلم التقانة الحيوية ونشأته و أهميته في الصناعات الغذائية والصيدلانية والعلاجية . ضمن محاضرات هذا المقرر نسلط الضوء بشكل مكثف على تطبيقات التقانة الحيوية في </w:t>
            </w:r>
            <w:r w:rsidR="00280BD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المجلات الطبية والتقنيات الجزيئية التي تستخدم الكائنات الحية والمزارع الخلوية لإنتاج أدوية وبروتينات علاجية بالإضافة إلى تقانات التعديل الوراثي وإنتاج حيوانات معدلة وراثيا تستخدم كنماذج لدراسة الأمراض وفعالية الأدوية.</w:t>
            </w:r>
          </w:p>
        </w:tc>
      </w:tr>
    </w:tbl>
    <w:p w14:paraId="5279A5C8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016FA254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1FD9CBE4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1D395BCB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B32258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134FB740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34736" w14:textId="77777777" w:rsidR="000E027B" w:rsidRPr="002339F4" w:rsidRDefault="00324ADF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 w:rsidRPr="002339F4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مقدمة في </w:t>
            </w:r>
            <w:r w:rsidR="00280BD5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التقانة الحيوية</w:t>
            </w:r>
          </w:p>
        </w:tc>
      </w:tr>
      <w:tr w:rsidR="000E027B" w:rsidRPr="00F73AF0" w14:paraId="51BDB66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5DF20" w14:textId="77777777" w:rsidR="000E027B" w:rsidRPr="008244AE" w:rsidRDefault="00280BD5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مقارنة بين تقانات البيولجية الجزيئية والتقانة الحيوية</w:t>
            </w:r>
          </w:p>
        </w:tc>
      </w:tr>
      <w:tr w:rsidR="000E027B" w:rsidRPr="00F73AF0" w14:paraId="2C127CD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56EB" w14:textId="77777777" w:rsidR="000E027B" w:rsidRPr="008244AE" w:rsidRDefault="00280BD5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تقانة </w:t>
            </w:r>
            <w:r w:rsidR="007A006A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تنسيل الدنا </w:t>
            </w:r>
            <w:r w:rsidR="007A006A">
              <w:rPr>
                <w:rFonts w:ascii="Sakkal Majalla" w:hAnsi="Sakkal Majalla" w:cs="Sakkal Majalla"/>
                <w:sz w:val="26"/>
                <w:szCs w:val="26"/>
                <w:lang w:val="de-DE" w:bidi="ar-SA"/>
              </w:rPr>
              <w:t>DNA cloning</w:t>
            </w:r>
          </w:p>
        </w:tc>
      </w:tr>
      <w:tr w:rsidR="000E027B" w:rsidRPr="00F73AF0" w14:paraId="717B83A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2D87" w14:textId="77777777" w:rsidR="000E027B" w:rsidRPr="002339F4" w:rsidRDefault="007A006A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المزارع الخلوية</w:t>
            </w:r>
          </w:p>
        </w:tc>
      </w:tr>
      <w:tr w:rsidR="000E027B" w:rsidRPr="00F73AF0" w14:paraId="43AA2C79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7C324" w14:textId="77777777" w:rsidR="000E027B" w:rsidRDefault="007A006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تقانات إدخال دنا مؤشب إلى المزارع الخلوية وإنتاج بروتينات مؤشبة علاجية</w:t>
            </w:r>
          </w:p>
          <w:p w14:paraId="4F860B94" w14:textId="77777777" w:rsidR="00835A0D" w:rsidRDefault="00835A0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إنتاج الأضداد وتطوير اللقاحات</w:t>
            </w:r>
          </w:p>
          <w:p w14:paraId="6476FBE3" w14:textId="77777777" w:rsidR="00C26AA8" w:rsidRPr="008244AE" w:rsidRDefault="00C26AA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طرق تنقية البروتينات </w:t>
            </w:r>
          </w:p>
        </w:tc>
      </w:tr>
      <w:tr w:rsidR="000E027B" w:rsidRPr="00F73AF0" w14:paraId="27C9A7A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90535" w14:textId="77777777" w:rsidR="000E027B" w:rsidRPr="008244AE" w:rsidRDefault="007A006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التعديل الوراثي تايخه وأهم التقنيات الحديثة للتعديل الوراثي</w:t>
            </w:r>
          </w:p>
        </w:tc>
      </w:tr>
      <w:tr w:rsidR="000E027B" w:rsidRPr="00F73AF0" w14:paraId="2FA466C0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0C28C" w14:textId="77777777" w:rsidR="000E027B" w:rsidRPr="008244AE" w:rsidRDefault="007A006A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الكائنات المعدلة وراثيا </w:t>
            </w:r>
            <w:r w:rsidR="00835A0D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 xml:space="preserve"> المستخدمة كنماذج طبية</w:t>
            </w:r>
          </w:p>
        </w:tc>
      </w:tr>
      <w:tr w:rsidR="000E027B" w:rsidRPr="00F73AF0" w14:paraId="08C8455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6B12F" w14:textId="77777777" w:rsidR="000E027B" w:rsidRPr="008244AE" w:rsidRDefault="00C26AA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الصيدلية البيولوجية</w:t>
            </w:r>
          </w:p>
        </w:tc>
      </w:tr>
      <w:tr w:rsidR="000E027B" w:rsidRPr="00F73AF0" w14:paraId="68B0A14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82E30" w14:textId="77777777" w:rsidR="000E027B" w:rsidRPr="002339F4" w:rsidRDefault="00835A0D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بنك الأعضاء الحيوية</w:t>
            </w:r>
          </w:p>
        </w:tc>
      </w:tr>
      <w:tr w:rsidR="000E027B" w:rsidRPr="00F73AF0" w14:paraId="2ED4194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829B0" w14:textId="77777777" w:rsidR="000E027B" w:rsidRPr="008244AE" w:rsidRDefault="00835A0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نقل وزراعة الأعضاء</w:t>
            </w:r>
          </w:p>
        </w:tc>
      </w:tr>
      <w:tr w:rsidR="000E027B" w:rsidRPr="00F73AF0" w14:paraId="1C7E701B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BB369" w14:textId="77777777" w:rsidR="000E027B" w:rsidRPr="00DD5E90" w:rsidRDefault="000E027B" w:rsidP="00835A0D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val="de-DE"/>
              </w:rPr>
            </w:pPr>
          </w:p>
        </w:tc>
      </w:tr>
      <w:tr w:rsidR="000E027B" w:rsidRPr="00F73AF0" w14:paraId="3466163A" w14:textId="77777777" w:rsidTr="008A3FD2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EB0" w14:textId="77777777" w:rsidR="0040758E" w:rsidRPr="00835A0D" w:rsidRDefault="0040758E" w:rsidP="00835A0D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4B6F8311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003EE68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1DDCD59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51B8056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B173523" w14:textId="77777777" w:rsidR="002339F4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45E8503" w14:textId="77777777" w:rsidR="002339F4" w:rsidRPr="00F73AF0" w:rsidRDefault="002339F4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1A837BD3" w14:textId="77777777" w:rsidTr="005709FB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7921A352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6BA3BC34" w14:textId="77777777" w:rsidTr="008A3FD2">
        <w:trPr>
          <w:trHeight w:hRule="exact" w:val="2865"/>
        </w:trPr>
        <w:tc>
          <w:tcPr>
            <w:tcW w:w="9461" w:type="dxa"/>
          </w:tcPr>
          <w:p w14:paraId="41320B05" w14:textId="77777777" w:rsidR="00572800" w:rsidRPr="005709FB" w:rsidRDefault="00BD7993" w:rsidP="00BD7993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709FB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Pr="008A3F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Pharmaceutical Biotechnology</w:t>
            </w:r>
            <w:r w:rsidRPr="005709F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” by S P Vyas</w:t>
            </w:r>
          </w:p>
          <w:p w14:paraId="37DD8F97" w14:textId="77777777" w:rsidR="00BD7993" w:rsidRDefault="005709FB" w:rsidP="00BD7993">
            <w:pPr>
              <w:pStyle w:val="ListParagraph"/>
              <w:numPr>
                <w:ilvl w:val="0"/>
                <w:numId w:val="6"/>
              </w:numPr>
              <w:bidi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709FB">
              <w:rPr>
                <w:rFonts w:cs="Times New Roman"/>
                <w:i/>
                <w:iCs/>
                <w:sz w:val="24"/>
                <w:szCs w:val="24"/>
              </w:rPr>
              <w:t xml:space="preserve">Chekol C, Gebreyohannes M. </w:t>
            </w:r>
            <w:r w:rsidRPr="005709F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Application and Current Trends of Biotechnology</w:t>
            </w:r>
            <w:r w:rsidRPr="005709FB">
              <w:rPr>
                <w:rFonts w:cs="Times New Roman"/>
                <w:i/>
                <w:iCs/>
                <w:sz w:val="24"/>
                <w:szCs w:val="24"/>
              </w:rPr>
              <w:t>: a Brief Review. Austin Journal of Biotechnology &amp; Bioengineering, 2018;5(1):1-8.</w:t>
            </w:r>
          </w:p>
          <w:p w14:paraId="49DA665A" w14:textId="77777777" w:rsidR="005709FB" w:rsidRDefault="005709FB" w:rsidP="005709FB">
            <w:pPr>
              <w:pStyle w:val="ListParagraph"/>
              <w:numPr>
                <w:ilvl w:val="0"/>
                <w:numId w:val="6"/>
              </w:numPr>
              <w:bidi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709FB">
              <w:rPr>
                <w:rFonts w:cs="Times New Roman"/>
                <w:i/>
                <w:iCs/>
                <w:sz w:val="24"/>
                <w:szCs w:val="24"/>
              </w:rPr>
              <w:t>Mahroof S, Pant G, Rafeek R.</w:t>
            </w:r>
            <w:r w:rsidRPr="005709F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Monoclonal antibodies: an emerging immunotherapy technology</w:t>
            </w:r>
            <w:r w:rsidRPr="005709FB">
              <w:rPr>
                <w:rFonts w:cs="Times New Roman"/>
                <w:i/>
                <w:iCs/>
                <w:sz w:val="24"/>
                <w:szCs w:val="24"/>
              </w:rPr>
              <w:t>. European Journal of Biomedical, 2016;3(4): 134-143.</w:t>
            </w:r>
          </w:p>
          <w:p w14:paraId="5A956402" w14:textId="77777777" w:rsidR="005709FB" w:rsidRPr="005709FB" w:rsidRDefault="005709FB" w:rsidP="005709FB">
            <w:pPr>
              <w:pStyle w:val="ListParagraph"/>
              <w:numPr>
                <w:ilvl w:val="0"/>
                <w:numId w:val="6"/>
              </w:numPr>
              <w:bidi w:val="0"/>
              <w:rPr>
                <w:rFonts w:cs="Times New Roman"/>
                <w:i/>
                <w:iCs/>
                <w:sz w:val="24"/>
                <w:szCs w:val="24"/>
                <w:rtl/>
              </w:rPr>
            </w:pPr>
            <w:r w:rsidRPr="005709FB">
              <w:rPr>
                <w:rFonts w:cs="Times New Roman"/>
                <w:i/>
                <w:iCs/>
                <w:sz w:val="24"/>
                <w:szCs w:val="24"/>
              </w:rPr>
              <w:t xml:space="preserve">Misra S. </w:t>
            </w:r>
            <w:r w:rsidRPr="005709F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Human gene therapy: a brief overview of the genetic revolution</w:t>
            </w:r>
            <w:r w:rsidRPr="005709FB">
              <w:rPr>
                <w:rFonts w:cs="Times New Roman"/>
                <w:i/>
                <w:iCs/>
                <w:sz w:val="24"/>
                <w:szCs w:val="24"/>
              </w:rPr>
              <w:t>. J Assoc Physicians India, 2013;61(2):127-33.</w:t>
            </w:r>
          </w:p>
          <w:p w14:paraId="302A8E59" w14:textId="77777777" w:rsidR="000663DB" w:rsidRPr="000663DB" w:rsidRDefault="000663DB" w:rsidP="00BD7993">
            <w:pPr>
              <w:bidi w:val="0"/>
              <w:ind w:left="360"/>
              <w:jc w:val="center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037808DC" w14:textId="77777777" w:rsidR="002339F4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</w:p>
    <w:p w14:paraId="2EF89E0A" w14:textId="77777777" w:rsidR="002339F4" w:rsidRDefault="002339F4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9CD7E04" w14:textId="77777777" w:rsidR="00102909" w:rsidRDefault="002339F4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</w:p>
    <w:p w14:paraId="12D3AF5E" w14:textId="5868067B" w:rsidR="00572800" w:rsidRPr="00F73AF0" w:rsidRDefault="00F226D2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5DFB526F" w14:textId="2128B78F" w:rsidR="00572800" w:rsidRPr="00F73AF0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CD01B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6B744B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0D964963" w14:textId="77777777" w:rsidR="00F140D5" w:rsidRPr="00F73AF0" w:rsidRDefault="00000000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8E8E" w14:textId="77777777" w:rsidR="007663C3" w:rsidRDefault="007663C3" w:rsidP="00F226D2">
      <w:r>
        <w:separator/>
      </w:r>
    </w:p>
  </w:endnote>
  <w:endnote w:type="continuationSeparator" w:id="0">
    <w:p w14:paraId="6FDF9F5A" w14:textId="77777777" w:rsidR="007663C3" w:rsidRDefault="007663C3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91E6" w14:textId="77777777" w:rsidR="007663C3" w:rsidRDefault="007663C3" w:rsidP="00F226D2">
      <w:r>
        <w:separator/>
      </w:r>
    </w:p>
  </w:footnote>
  <w:footnote w:type="continuationSeparator" w:id="0">
    <w:p w14:paraId="551C1713" w14:textId="77777777" w:rsidR="007663C3" w:rsidRDefault="007663C3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DE10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B2AFF3D" wp14:editId="5B8E7B3C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1FC3"/>
    <w:multiLevelType w:val="hybridMultilevel"/>
    <w:tmpl w:val="6AF848A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CF7E5C"/>
    <w:multiLevelType w:val="hybridMultilevel"/>
    <w:tmpl w:val="CB2E61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90540">
    <w:abstractNumId w:val="1"/>
  </w:num>
  <w:num w:numId="2" w16cid:durableId="1771194461">
    <w:abstractNumId w:val="5"/>
  </w:num>
  <w:num w:numId="3" w16cid:durableId="1653673886">
    <w:abstractNumId w:val="2"/>
  </w:num>
  <w:num w:numId="4" w16cid:durableId="1774474961">
    <w:abstractNumId w:val="0"/>
  </w:num>
  <w:num w:numId="5" w16cid:durableId="1290480002">
    <w:abstractNumId w:val="4"/>
  </w:num>
  <w:num w:numId="6" w16cid:durableId="1493834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663DB"/>
    <w:rsid w:val="000C26A2"/>
    <w:rsid w:val="000E027B"/>
    <w:rsid w:val="00102909"/>
    <w:rsid w:val="001F3C27"/>
    <w:rsid w:val="00204553"/>
    <w:rsid w:val="002339F4"/>
    <w:rsid w:val="00280BD5"/>
    <w:rsid w:val="00324ADF"/>
    <w:rsid w:val="00353E8C"/>
    <w:rsid w:val="0036379C"/>
    <w:rsid w:val="003E3730"/>
    <w:rsid w:val="003E4B85"/>
    <w:rsid w:val="0040758E"/>
    <w:rsid w:val="00415D47"/>
    <w:rsid w:val="0044592D"/>
    <w:rsid w:val="00505CA3"/>
    <w:rsid w:val="0053393A"/>
    <w:rsid w:val="005709FB"/>
    <w:rsid w:val="00572800"/>
    <w:rsid w:val="00595342"/>
    <w:rsid w:val="005E4E7B"/>
    <w:rsid w:val="00652561"/>
    <w:rsid w:val="006670D7"/>
    <w:rsid w:val="006706CD"/>
    <w:rsid w:val="006B744B"/>
    <w:rsid w:val="006D67F0"/>
    <w:rsid w:val="006E623D"/>
    <w:rsid w:val="00732EE6"/>
    <w:rsid w:val="00755053"/>
    <w:rsid w:val="007663C3"/>
    <w:rsid w:val="007A006A"/>
    <w:rsid w:val="007B5483"/>
    <w:rsid w:val="008244AE"/>
    <w:rsid w:val="00835A0D"/>
    <w:rsid w:val="0083797F"/>
    <w:rsid w:val="00897027"/>
    <w:rsid w:val="008A3FD2"/>
    <w:rsid w:val="008B0D49"/>
    <w:rsid w:val="0090479C"/>
    <w:rsid w:val="00907089"/>
    <w:rsid w:val="00911758"/>
    <w:rsid w:val="00925FBF"/>
    <w:rsid w:val="00936A81"/>
    <w:rsid w:val="009A50DA"/>
    <w:rsid w:val="00AE0F2E"/>
    <w:rsid w:val="00B57645"/>
    <w:rsid w:val="00BB3390"/>
    <w:rsid w:val="00BD7993"/>
    <w:rsid w:val="00C20533"/>
    <w:rsid w:val="00C26AA8"/>
    <w:rsid w:val="00C55DE9"/>
    <w:rsid w:val="00C702B6"/>
    <w:rsid w:val="00C87A4F"/>
    <w:rsid w:val="00C929B3"/>
    <w:rsid w:val="00CC486C"/>
    <w:rsid w:val="00CD01BA"/>
    <w:rsid w:val="00CD64D7"/>
    <w:rsid w:val="00DA1C39"/>
    <w:rsid w:val="00DC5F10"/>
    <w:rsid w:val="00DD5E90"/>
    <w:rsid w:val="00E13743"/>
    <w:rsid w:val="00EE3530"/>
    <w:rsid w:val="00F07032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F4929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8</cp:revision>
  <cp:lastPrinted>2022-08-21T08:38:00Z</cp:lastPrinted>
  <dcterms:created xsi:type="dcterms:W3CDTF">2020-11-24T08:03:00Z</dcterms:created>
  <dcterms:modified xsi:type="dcterms:W3CDTF">2022-08-21T08:38:00Z</dcterms:modified>
</cp:coreProperties>
</file>