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5B8B976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w:t>
      </w:r>
      <w:r w:rsidR="002D09B6">
        <w:rPr>
          <w:rFonts w:ascii="Sakkal Majalla" w:hAnsi="Sakkal Majalla" w:cs="Sakkal Majalla" w:hint="cs"/>
          <w:rtl/>
        </w:rPr>
        <w:t xml:space="preserve"> السريرية</w:t>
      </w:r>
    </w:p>
    <w:p w14:paraId="7B8DC8B7" w14:textId="4885A8EF"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55E1B">
        <w:rPr>
          <w:rFonts w:ascii="Sakkal Majalla" w:hAnsi="Sakkal Majalla" w:cs="Sakkal Majalla" w:hint="cs"/>
          <w:rtl/>
        </w:rPr>
        <w:t>8</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82DE24F" w14:textId="7BDFC879" w:rsidR="006A670A" w:rsidRPr="006A670A" w:rsidRDefault="00455E1B" w:rsidP="006A670A">
      <w:pPr>
        <w:pStyle w:val="Title"/>
        <w:rPr>
          <w:rFonts w:ascii="Sakkal Majalla" w:hAnsi="Sakkal Majalla" w:cs="Sakkal Majalla"/>
          <w:color w:val="2F5496" w:themeColor="accent1" w:themeShade="BF"/>
          <w:kern w:val="2"/>
          <w:sz w:val="44"/>
          <w:szCs w:val="44"/>
          <w:rtl/>
        </w:rPr>
      </w:pPr>
      <w:r>
        <w:rPr>
          <w:rFonts w:ascii="Sakkal Majalla" w:hAnsi="Sakkal Majalla" w:cs="Sakkal Majalla" w:hint="cs"/>
          <w:color w:val="2F5496" w:themeColor="accent1" w:themeShade="BF"/>
          <w:kern w:val="2"/>
          <w:sz w:val="44"/>
          <w:szCs w:val="44"/>
          <w:rtl/>
        </w:rPr>
        <w:t>الكرياتين والكرياتينين</w:t>
      </w:r>
    </w:p>
    <w:p w14:paraId="32711C23" w14:textId="3840FAED" w:rsidR="00446A4B" w:rsidRPr="000607C7" w:rsidRDefault="00EE29E3" w:rsidP="006A670A">
      <w:pPr>
        <w:pStyle w:val="Heading1"/>
        <w:rPr>
          <w:rFonts w:eastAsia="Times New Roman"/>
          <w:color w:val="0070C0"/>
          <w:spacing w:val="5"/>
          <w:rtl/>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48F6BB68" w14:textId="77777777" w:rsidR="000607C7" w:rsidRDefault="000607C7" w:rsidP="00BB2074">
      <w:pPr>
        <w:pStyle w:val="Title"/>
        <w:rPr>
          <w:rFonts w:ascii="Sakkal Majalla" w:hAnsi="Sakkal Majalla" w:cs="Sakkal Majalla"/>
          <w:rtl/>
        </w:rPr>
      </w:pPr>
    </w:p>
    <w:p w14:paraId="61BA6A3D" w14:textId="3F7A114E"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BE6766E"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والمقدمة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085088D" w:rsidR="00855B13" w:rsidRPr="00446A4B" w:rsidRDefault="0031059A" w:rsidP="00D05624">
            <w:pPr>
              <w:pStyle w:val="Title"/>
              <w:rPr>
                <w:rFonts w:ascii="Sakkal Majalla" w:hAnsi="Sakkal Majalla" w:cs="Sakkal Majalla"/>
                <w:rtl/>
              </w:rPr>
            </w:pPr>
            <w:r>
              <w:rPr>
                <w:rFonts w:ascii="Sakkal Majalla" w:hAnsi="Sakkal Majalla" w:cs="Sakkal Majalla" w:hint="cs"/>
                <w:rtl/>
              </w:rPr>
              <w:t>تصفية الكرياتينين</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0EFD7207" w:rsidR="00855B13" w:rsidRPr="006A697C" w:rsidRDefault="00074732" w:rsidP="00D05624">
            <w:pPr>
              <w:pStyle w:val="Title"/>
              <w:rPr>
                <w:rFonts w:ascii="Sakkal Majalla" w:hAnsi="Sakkal Majalla" w:cs="Sakkal Majalla"/>
                <w:sz w:val="52"/>
              </w:rPr>
            </w:pPr>
            <w:r>
              <w:rPr>
                <w:rFonts w:ascii="Sakkal Majalla" w:hAnsi="Sakkal Majalla" w:cs="Sakkal Majalla" w:hint="cs"/>
                <w:rtl/>
              </w:rPr>
              <w:t>ط</w:t>
            </w:r>
            <w:r w:rsidR="00160E10">
              <w:rPr>
                <w:rFonts w:ascii="Sakkal Majalla" w:hAnsi="Sakkal Majalla" w:cs="Sakkal Majalla" w:hint="cs"/>
                <w:rtl/>
              </w:rPr>
              <w:t>ر</w:t>
            </w:r>
            <w:r>
              <w:rPr>
                <w:rFonts w:ascii="Sakkal Majalla" w:hAnsi="Sakkal Majalla" w:cs="Sakkal Majalla" w:hint="cs"/>
                <w:rtl/>
              </w:rPr>
              <w:t>ائق معايرة ال</w:t>
            </w:r>
            <w:r w:rsidR="0031059A">
              <w:rPr>
                <w:rFonts w:ascii="Sakkal Majalla" w:hAnsi="Sakkal Majalla" w:cs="Sakkal Majalla" w:hint="cs"/>
                <w:rtl/>
              </w:rPr>
              <w:t>كرياتينين</w:t>
            </w:r>
          </w:p>
        </w:tc>
        <w:tc>
          <w:tcPr>
            <w:tcW w:w="1553" w:type="dxa"/>
          </w:tcPr>
          <w:p w14:paraId="1511773D" w14:textId="7E760242" w:rsidR="00855B13" w:rsidRPr="00446A4B" w:rsidRDefault="0031059A" w:rsidP="00D05624">
            <w:pPr>
              <w:pStyle w:val="Title"/>
              <w:rPr>
                <w:rFonts w:ascii="Sakkal Majalla" w:hAnsi="Sakkal Majalla" w:cs="Sakkal Majalla"/>
                <w:rtl/>
              </w:rPr>
            </w:pPr>
            <w:r>
              <w:rPr>
                <w:rFonts w:ascii="Sakkal Majalla" w:hAnsi="Sakkal Majalla" w:cs="Sakkal Majalla" w:hint="cs"/>
                <w:rtl/>
              </w:rPr>
              <w:t>4</w:t>
            </w:r>
          </w:p>
        </w:tc>
      </w:tr>
      <w:tr w:rsidR="0031059A" w:rsidRPr="00446A4B" w14:paraId="74F1D4A8" w14:textId="77777777" w:rsidTr="00855B13">
        <w:tc>
          <w:tcPr>
            <w:tcW w:w="7463" w:type="dxa"/>
          </w:tcPr>
          <w:p w14:paraId="7FB680B6" w14:textId="5217BDE7" w:rsidR="0031059A" w:rsidRDefault="0031059A" w:rsidP="00D05624">
            <w:pPr>
              <w:pStyle w:val="Title"/>
              <w:rPr>
                <w:rFonts w:ascii="Sakkal Majalla" w:hAnsi="Sakkal Majalla" w:cs="Sakkal Majalla"/>
                <w:rtl/>
              </w:rPr>
            </w:pPr>
            <w:r>
              <w:rPr>
                <w:rFonts w:ascii="Sakkal Majalla" w:hAnsi="Sakkal Majalla" w:cs="Sakkal Majalla" w:hint="cs"/>
                <w:rtl/>
              </w:rPr>
              <w:t>التغيرات الفيزيولوجية والمرضية</w:t>
            </w:r>
          </w:p>
        </w:tc>
        <w:tc>
          <w:tcPr>
            <w:tcW w:w="1553" w:type="dxa"/>
          </w:tcPr>
          <w:p w14:paraId="1774BFE1" w14:textId="73DD289F" w:rsidR="0031059A" w:rsidRDefault="0031059A" w:rsidP="00D05624">
            <w:pPr>
              <w:pStyle w:val="Title"/>
              <w:rPr>
                <w:rFonts w:ascii="Sakkal Majalla" w:hAnsi="Sakkal Majalla" w:cs="Sakkal Majalla"/>
                <w:rtl/>
              </w:rPr>
            </w:pPr>
            <w:r>
              <w:rPr>
                <w:rFonts w:ascii="Sakkal Majalla" w:hAnsi="Sakkal Majalla" w:cs="Sakkal Majalla" w:hint="cs"/>
                <w:rtl/>
              </w:rPr>
              <w:t>4</w:t>
            </w:r>
          </w:p>
        </w:tc>
      </w:tr>
      <w:tr w:rsidR="00C11584" w:rsidRPr="00446A4B" w14:paraId="6A6AA63E" w14:textId="77777777" w:rsidTr="00855B13">
        <w:tc>
          <w:tcPr>
            <w:tcW w:w="7463" w:type="dxa"/>
          </w:tcPr>
          <w:p w14:paraId="0E5EA430" w14:textId="2039F52B" w:rsidR="00C11584" w:rsidRDefault="00C11584" w:rsidP="00D05624">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5FCD84C0" w14:textId="6A7F2C17" w:rsidR="00C11584" w:rsidRDefault="00C11584"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386E9BCD" w14:textId="4FDBECA7" w:rsidR="002D09B6" w:rsidRPr="00F77174" w:rsidRDefault="002D09B6" w:rsidP="006A670A">
      <w:pPr>
        <w:rPr>
          <w:rtl/>
          <w:lang w:bidi="ar-SY"/>
        </w:rPr>
      </w:pPr>
      <w:bookmarkStart w:id="1" w:name="_Toc133308113"/>
      <w:r>
        <w:rPr>
          <w:rFonts w:hint="cs"/>
          <w:rtl/>
          <w:lang w:bidi="ar-SY"/>
        </w:rPr>
        <w:t xml:space="preserve">التعريف </w:t>
      </w:r>
      <w:r w:rsidR="00455E1B">
        <w:rPr>
          <w:rFonts w:hint="cs"/>
          <w:rtl/>
          <w:lang w:bidi="ar-SY"/>
        </w:rPr>
        <w:t xml:space="preserve">بالكرياتين والكرياتينين </w:t>
      </w:r>
      <w:r w:rsidR="006A670A">
        <w:rPr>
          <w:rFonts w:hint="cs"/>
          <w:rtl/>
          <w:lang w:bidi="ar-SY"/>
        </w:rPr>
        <w:t>، التغيرات الفيزيولوجية والمرضية ل</w:t>
      </w:r>
      <w:r w:rsidR="00455E1B">
        <w:rPr>
          <w:rFonts w:hint="cs"/>
          <w:rtl/>
          <w:lang w:bidi="ar-SY"/>
        </w:rPr>
        <w:t xml:space="preserve">لكرياتينين </w:t>
      </w:r>
      <w:r w:rsidR="006A670A">
        <w:rPr>
          <w:rFonts w:hint="cs"/>
          <w:rtl/>
          <w:lang w:bidi="ar-SY"/>
        </w:rPr>
        <w:t>و طرائق معايرته.</w:t>
      </w:r>
    </w:p>
    <w:p w14:paraId="698FEA29" w14:textId="77777777" w:rsidR="00847301" w:rsidRDefault="00847301" w:rsidP="00D05624">
      <w:pPr>
        <w:pStyle w:val="Heading2"/>
        <w:rPr>
          <w:rFonts w:ascii="Sakkal Majalla" w:hAnsi="Sakkal Majalla" w:cs="Sakkal Majalla"/>
          <w:rtl/>
        </w:rPr>
      </w:pPr>
      <w:r w:rsidRPr="00446A4B">
        <w:rPr>
          <w:rFonts w:ascii="Sakkal Majalla" w:hAnsi="Sakkal Majalla" w:cs="Sakkal Majalla"/>
          <w:rtl/>
        </w:rPr>
        <w:t>مقدمة:</w:t>
      </w:r>
      <w:bookmarkEnd w:id="1"/>
    </w:p>
    <w:p w14:paraId="22A7D931" w14:textId="320C2D5D" w:rsidR="00455E1B" w:rsidRDefault="00455E1B" w:rsidP="00455E1B">
      <w:pPr>
        <w:spacing w:after="0" w:line="240" w:lineRule="auto"/>
        <w:jc w:val="both"/>
        <w:rPr>
          <w:rtl/>
          <w:lang w:bidi="ar-SY"/>
        </w:rPr>
      </w:pPr>
      <w:r>
        <w:rPr>
          <w:rFonts w:hint="cs"/>
          <w:rtl/>
          <w:lang w:bidi="ar-SY"/>
        </w:rPr>
        <w:t>الكرياتين هو حمض ميثيل غوانيدين الخلي أما الكرياتينين فهو بلا ماء الكرياتين، ينشأ الكرياتين في الكبد من</w:t>
      </w:r>
      <w:r>
        <w:rPr>
          <w:lang w:bidi="ar-SY"/>
        </w:rPr>
        <w:br/>
      </w:r>
      <w:r>
        <w:rPr>
          <w:rFonts w:hint="cs"/>
          <w:rtl/>
          <w:lang w:bidi="ar-SY"/>
        </w:rPr>
        <w:t>الحموض الأمينية التالية: الغليسين والأرجينين والميثيونين، ثم يتحول في العضلات إلى كرياتين فوسفات كمركب</w:t>
      </w:r>
      <w:r>
        <w:rPr>
          <w:lang w:bidi="ar-SY"/>
        </w:rPr>
        <w:br/>
      </w:r>
      <w:r>
        <w:rPr>
          <w:rFonts w:hint="cs"/>
          <w:rtl/>
          <w:lang w:bidi="ar-SY"/>
        </w:rPr>
        <w:t>خازن للطاقة في العضلات بتدخل أنزيم الكرياتين كيناز. يتحول يومياً من 1.1-2%من مجموع الكرياتين في</w:t>
      </w:r>
      <w:r>
        <w:rPr>
          <w:lang w:bidi="ar-SY"/>
        </w:rPr>
        <w:br/>
      </w:r>
      <w:r>
        <w:rPr>
          <w:rFonts w:hint="cs"/>
          <w:rtl/>
          <w:lang w:bidi="ar-SY"/>
        </w:rPr>
        <w:t xml:space="preserve">الجسم إلى كرياتينين الذي ينتقل بالبلاسما إلى الكلية حيث ينطرح بالبول بشكل كامل تقريباً. </w:t>
      </w:r>
    </w:p>
    <w:p w14:paraId="48F42C01" w14:textId="77777777" w:rsidR="00455E1B" w:rsidRDefault="00455E1B" w:rsidP="00455E1B">
      <w:pPr>
        <w:spacing w:after="0" w:line="240" w:lineRule="auto"/>
        <w:jc w:val="both"/>
        <w:rPr>
          <w:rtl/>
          <w:lang w:bidi="ar-SY"/>
        </w:rPr>
      </w:pPr>
    </w:p>
    <w:p w14:paraId="3DD4DEFE" w14:textId="1CBF4AE5" w:rsidR="00455E1B" w:rsidRDefault="00455E1B" w:rsidP="00455E1B">
      <w:pPr>
        <w:spacing w:after="0" w:line="240" w:lineRule="auto"/>
        <w:jc w:val="both"/>
        <w:rPr>
          <w:rtl/>
          <w:lang w:bidi="ar-SY"/>
        </w:rPr>
      </w:pPr>
      <w:r>
        <w:rPr>
          <w:noProof/>
        </w:rPr>
        <w:drawing>
          <wp:inline distT="0" distB="0" distL="0" distR="0" wp14:anchorId="71A901F0" wp14:editId="7BBC50B7">
            <wp:extent cx="5170170" cy="34321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170" cy="3432175"/>
                    </a:xfrm>
                    <a:prstGeom prst="rect">
                      <a:avLst/>
                    </a:prstGeom>
                    <a:noFill/>
                  </pic:spPr>
                </pic:pic>
              </a:graphicData>
            </a:graphic>
          </wp:inline>
        </w:drawing>
      </w:r>
    </w:p>
    <w:p w14:paraId="618DF79E" w14:textId="77777777" w:rsidR="00455E1B" w:rsidRDefault="00455E1B" w:rsidP="00455E1B">
      <w:pPr>
        <w:spacing w:after="0" w:line="240" w:lineRule="auto"/>
        <w:jc w:val="both"/>
        <w:rPr>
          <w:rtl/>
          <w:lang w:bidi="ar-SY"/>
        </w:rPr>
      </w:pPr>
    </w:p>
    <w:p w14:paraId="240DED43" w14:textId="77777777" w:rsidR="00455E1B" w:rsidRPr="00455E1B" w:rsidRDefault="00455E1B" w:rsidP="00455E1B">
      <w:pPr>
        <w:pStyle w:val="Heading2"/>
        <w:rPr>
          <w:rFonts w:ascii="Sakkal Majalla" w:hAnsi="Sakkal Majalla" w:cs="Sakkal Majalla"/>
        </w:rPr>
      </w:pPr>
      <w:r w:rsidRPr="00455E1B">
        <w:rPr>
          <w:rFonts w:ascii="Sakkal Majalla" w:hAnsi="Sakkal Majalla" w:cs="Sakkal Majalla" w:hint="cs"/>
          <w:rtl/>
        </w:rPr>
        <w:t>تصفية الكرياتينين</w:t>
      </w:r>
      <w:r w:rsidRPr="00455E1B">
        <w:rPr>
          <w:rFonts w:ascii="Sakkal Majalla" w:hAnsi="Sakkal Majalla" w:cs="Sakkal Majalla"/>
        </w:rPr>
        <w:t>:</w:t>
      </w:r>
    </w:p>
    <w:p w14:paraId="4553E341" w14:textId="41A33EB8" w:rsidR="00455E1B" w:rsidRDefault="00455E1B" w:rsidP="00455E1B">
      <w:pPr>
        <w:spacing w:after="0" w:line="240" w:lineRule="auto"/>
        <w:jc w:val="both"/>
        <w:rPr>
          <w:rtl/>
          <w:lang w:bidi="ar-SY"/>
        </w:rPr>
      </w:pPr>
      <w:r>
        <w:rPr>
          <w:rFonts w:hint="cs"/>
          <w:rtl/>
          <w:lang w:bidi="ar-SY"/>
        </w:rPr>
        <w:t>تُعرف تصفية الكرياتينين بأنها حجم البلازما الذي تتم تصفيته من الكرياتينين عبر الكلية في واحدة الزمن</w:t>
      </w:r>
      <w:r>
        <w:rPr>
          <w:lang w:bidi="ar-SY"/>
        </w:rPr>
        <w:t>.</w:t>
      </w:r>
      <w:r>
        <w:rPr>
          <w:rtl/>
          <w:lang w:bidi="ar-SY"/>
        </w:rPr>
        <w:t xml:space="preserve"> </w:t>
      </w:r>
      <w:r>
        <w:rPr>
          <w:rFonts w:hint="cs"/>
          <w:rtl/>
          <w:lang w:bidi="ar-SY"/>
        </w:rPr>
        <w:t xml:space="preserve">وتعتبر مؤشراً للوظيفة الكلوية ومعدل الرشح الكبيبي، وذلك لان الكرياتينين يفرز ويعاد امتصاصه في الانابيب الكلوية بكميات ضئيلة متكافئة وبالتالي فإن جميع ما يرتشح منه في الكبب الكلوية يفرغ مع البول. وتعطى تصفية الكرياتينين بالعلاقة التالية: </w:t>
      </w:r>
    </w:p>
    <w:p w14:paraId="6848E5FB" w14:textId="2698FD38" w:rsidR="00455E1B" w:rsidRPr="00455E1B" w:rsidRDefault="00455E1B" w:rsidP="00455E1B">
      <w:pPr>
        <w:spacing w:after="0" w:line="240" w:lineRule="auto"/>
        <w:jc w:val="both"/>
        <w:rPr>
          <w:lang w:bidi="ar-SY"/>
        </w:rPr>
      </w:pPr>
      <m:oMathPara>
        <m:oMath>
          <m:r>
            <w:rPr>
              <w:rFonts w:ascii="Cambria Math" w:hAnsi="Cambria Math"/>
              <w:lang w:bidi="ar-SY"/>
            </w:rPr>
            <m:t>CLcr</m:t>
          </m:r>
          <m:r>
            <m:rPr>
              <m:sty m:val="p"/>
            </m:rPr>
            <w:rPr>
              <w:rFonts w:ascii="Cambria Math" w:hAnsi="Cambria Math"/>
              <w:lang w:bidi="ar-SY"/>
            </w:rPr>
            <m:t>=</m:t>
          </m:r>
          <m:f>
            <m:fPr>
              <m:ctrlPr>
                <w:rPr>
                  <w:rFonts w:ascii="Cambria Math" w:hAnsi="Cambria Math"/>
                  <w:lang w:bidi="ar-SY"/>
                </w:rPr>
              </m:ctrlPr>
            </m:fPr>
            <m:num>
              <m:sSub>
                <m:sSubPr>
                  <m:ctrlPr>
                    <w:rPr>
                      <w:rFonts w:ascii="Cambria Math" w:hAnsi="Cambria Math"/>
                      <w:lang w:bidi="ar-SY"/>
                    </w:rPr>
                  </m:ctrlPr>
                </m:sSubPr>
                <m:e>
                  <m:r>
                    <w:rPr>
                      <w:rFonts w:ascii="Cambria Math" w:hAnsi="Cambria Math"/>
                      <w:lang w:bidi="ar-SY"/>
                    </w:rPr>
                    <m:t>U</m:t>
                  </m:r>
                </m:e>
                <m:sub>
                  <m:r>
                    <w:rPr>
                      <w:rFonts w:ascii="Cambria Math" w:hAnsi="Cambria Math"/>
                      <w:lang w:bidi="ar-SY"/>
                    </w:rPr>
                    <m:t>cr</m:t>
                  </m:r>
                </m:sub>
              </m:sSub>
              <m:r>
                <m:rPr>
                  <m:sty m:val="p"/>
                </m:rPr>
                <w:rPr>
                  <w:rFonts w:ascii="Cambria Math" w:hAnsi="Cambria Math"/>
                  <w:lang w:bidi="ar-SY"/>
                </w:rPr>
                <m:t>.</m:t>
              </m:r>
              <m:sSub>
                <m:sSubPr>
                  <m:ctrlPr>
                    <w:rPr>
                      <w:rFonts w:ascii="Cambria Math" w:hAnsi="Cambria Math"/>
                      <w:lang w:bidi="ar-SY"/>
                    </w:rPr>
                  </m:ctrlPr>
                </m:sSubPr>
                <m:e>
                  <m:r>
                    <w:rPr>
                      <w:rFonts w:ascii="Cambria Math" w:hAnsi="Cambria Math"/>
                      <w:lang w:bidi="ar-SY"/>
                    </w:rPr>
                    <m:t>V</m:t>
                  </m:r>
                </m:e>
                <m:sub>
                  <m:r>
                    <w:rPr>
                      <w:rFonts w:ascii="Cambria Math" w:hAnsi="Cambria Math"/>
                      <w:lang w:bidi="ar-SY"/>
                    </w:rPr>
                    <m:t>u</m:t>
                  </m:r>
                </m:sub>
              </m:sSub>
            </m:num>
            <m:den>
              <m:sSub>
                <m:sSubPr>
                  <m:ctrlPr>
                    <w:rPr>
                      <w:rFonts w:ascii="Cambria Math" w:hAnsi="Cambria Math"/>
                      <w:lang w:bidi="ar-SY"/>
                    </w:rPr>
                  </m:ctrlPr>
                </m:sSubPr>
                <m:e>
                  <m:r>
                    <w:rPr>
                      <w:rFonts w:ascii="Cambria Math" w:hAnsi="Cambria Math"/>
                      <w:lang w:bidi="ar-SY"/>
                    </w:rPr>
                    <m:t>P</m:t>
                  </m:r>
                </m:e>
                <m:sub>
                  <m:r>
                    <w:rPr>
                      <w:rFonts w:ascii="Cambria Math" w:hAnsi="Cambria Math"/>
                      <w:lang w:bidi="ar-SY"/>
                    </w:rPr>
                    <m:t>cr</m:t>
                  </m:r>
                </m:sub>
              </m:sSub>
              <m:r>
                <m:rPr>
                  <m:sty m:val="p"/>
                </m:rPr>
                <w:rPr>
                  <w:rFonts w:ascii="Cambria Math" w:hAnsi="Cambria Math"/>
                  <w:lang w:bidi="ar-SY"/>
                </w:rPr>
                <m:t>.</m:t>
              </m:r>
              <m:r>
                <w:rPr>
                  <w:rFonts w:ascii="Cambria Math" w:hAnsi="Cambria Math"/>
                  <w:lang w:bidi="ar-SY"/>
                </w:rPr>
                <m:t>t</m:t>
              </m:r>
            </m:den>
          </m:f>
        </m:oMath>
      </m:oMathPara>
    </w:p>
    <w:p w14:paraId="0ED9D420" w14:textId="77777777" w:rsidR="006A670A" w:rsidRDefault="006A670A" w:rsidP="006A670A">
      <w:pPr>
        <w:spacing w:after="0" w:line="240" w:lineRule="auto"/>
        <w:jc w:val="both"/>
        <w:rPr>
          <w:lang w:bidi="ar-SY"/>
        </w:rPr>
      </w:pPr>
    </w:p>
    <w:p w14:paraId="4FD78873" w14:textId="77777777" w:rsidR="0031059A" w:rsidRDefault="0031059A" w:rsidP="0031059A">
      <w:pPr>
        <w:spacing w:after="0" w:line="240" w:lineRule="auto"/>
        <w:jc w:val="both"/>
        <w:rPr>
          <w:sz w:val="28"/>
          <w:szCs w:val="28"/>
          <w:lang w:bidi="ar-SY"/>
        </w:rPr>
      </w:pPr>
      <w:r>
        <w:rPr>
          <w:rFonts w:hint="cs"/>
          <w:rtl/>
          <w:lang w:bidi="ar-SY"/>
        </w:rPr>
        <w:t xml:space="preserve">حيث أن: </w:t>
      </w:r>
      <w:r>
        <w:rPr>
          <w:lang w:bidi="ar-SY"/>
        </w:rPr>
        <w:t>CLcr</w:t>
      </w:r>
      <w:r>
        <w:rPr>
          <w:rFonts w:hint="cs"/>
          <w:rtl/>
          <w:lang w:bidi="ar-SY"/>
        </w:rPr>
        <w:t xml:space="preserve"> تصفية الكرياتينين مقدرة </w:t>
      </w:r>
      <w:r>
        <w:rPr>
          <w:lang w:bidi="ar-SY"/>
        </w:rPr>
        <w:t>mL/min</w:t>
      </w:r>
      <w:r>
        <w:rPr>
          <w:rFonts w:hint="cs"/>
          <w:rtl/>
          <w:lang w:bidi="ar-SY"/>
        </w:rPr>
        <w:t xml:space="preserve">، </w:t>
      </w:r>
      <w:r>
        <w:rPr>
          <w:lang w:bidi="ar-SY"/>
        </w:rPr>
        <w:t>Ucr</w:t>
      </w:r>
      <w:r>
        <w:rPr>
          <w:rFonts w:hint="cs"/>
          <w:rtl/>
          <w:lang w:bidi="ar-SY"/>
        </w:rPr>
        <w:t xml:space="preserve"> تركيز الكرياتينين في البول، </w:t>
      </w:r>
      <w:r>
        <w:rPr>
          <w:lang w:bidi="ar-SY"/>
        </w:rPr>
        <w:t>Vu</w:t>
      </w:r>
      <w:r>
        <w:rPr>
          <w:rFonts w:hint="cs"/>
          <w:rtl/>
          <w:lang w:bidi="ar-SY"/>
        </w:rPr>
        <w:t xml:space="preserve"> حجم بول 24 ساعة، </w:t>
      </w:r>
      <w:r>
        <w:rPr>
          <w:lang w:bidi="ar-SY"/>
        </w:rPr>
        <w:t>Pcr</w:t>
      </w:r>
      <w:r>
        <w:rPr>
          <w:rFonts w:hint="cs"/>
          <w:rtl/>
          <w:lang w:bidi="ar-SY"/>
        </w:rPr>
        <w:t xml:space="preserve"> تركيز الكرياتينين في البلازما، </w:t>
      </w:r>
      <w:r>
        <w:rPr>
          <w:lang w:bidi="ar-SY"/>
        </w:rPr>
        <w:t>t</w:t>
      </w:r>
      <w:r>
        <w:rPr>
          <w:rFonts w:hint="cs"/>
          <w:rtl/>
          <w:lang w:bidi="ar-SY"/>
        </w:rPr>
        <w:t xml:space="preserve"> الزمن (مقدراً بالدقيقة).</w:t>
      </w:r>
    </w:p>
    <w:p w14:paraId="1A9A83D7" w14:textId="67E74CD2" w:rsidR="0031059A" w:rsidRDefault="0031059A" w:rsidP="0031059A">
      <w:pPr>
        <w:spacing w:after="0" w:line="240" w:lineRule="auto"/>
        <w:jc w:val="both"/>
        <w:rPr>
          <w:rtl/>
          <w:lang w:bidi="ar-SY"/>
        </w:rPr>
      </w:pPr>
      <w:r>
        <w:rPr>
          <w:rFonts w:hint="cs"/>
          <w:rtl/>
          <w:lang w:bidi="ar-SY"/>
        </w:rPr>
        <w:t>القيم المرجعية لتصفية الكرياتينين: رجال: 97-137 مل/دقيقة – نساء: 88-128 مل/دقيقة.</w:t>
      </w:r>
    </w:p>
    <w:p w14:paraId="73691E44" w14:textId="77777777" w:rsidR="0031059A" w:rsidRPr="00455E1B" w:rsidRDefault="0031059A" w:rsidP="006A670A">
      <w:pPr>
        <w:spacing w:after="0" w:line="240" w:lineRule="auto"/>
        <w:jc w:val="both"/>
        <w:rPr>
          <w:rtl/>
          <w:lang w:bidi="ar-SY"/>
        </w:rPr>
      </w:pPr>
    </w:p>
    <w:p w14:paraId="4BC777C0" w14:textId="77777777" w:rsidR="0031059A" w:rsidRPr="0031059A" w:rsidRDefault="0031059A" w:rsidP="0031059A">
      <w:pPr>
        <w:spacing w:before="120" w:after="120" w:line="240" w:lineRule="auto"/>
        <w:jc w:val="both"/>
        <w:rPr>
          <w:rFonts w:eastAsiaTheme="majorEastAsia"/>
          <w:b/>
          <w:bCs/>
          <w:color w:val="2F5496" w:themeColor="accent1" w:themeShade="BF"/>
          <w:kern w:val="2"/>
          <w:sz w:val="26"/>
          <w:szCs w:val="26"/>
          <w:lang w:bidi="ar-SY"/>
          <w14:ligatures w14:val="standardContextual"/>
        </w:rPr>
      </w:pPr>
      <w:r w:rsidRPr="0031059A">
        <w:rPr>
          <w:rFonts w:eastAsiaTheme="majorEastAsia" w:hint="cs"/>
          <w:b/>
          <w:bCs/>
          <w:color w:val="2F5496" w:themeColor="accent1" w:themeShade="BF"/>
          <w:kern w:val="2"/>
          <w:sz w:val="26"/>
          <w:szCs w:val="26"/>
          <w:rtl/>
          <w:lang w:bidi="ar-SY"/>
          <w14:ligatures w14:val="standardContextual"/>
        </w:rPr>
        <w:lastRenderedPageBreak/>
        <w:t>طرائق معايرة الكرياتينين:</w:t>
      </w:r>
    </w:p>
    <w:p w14:paraId="3E49DC3D" w14:textId="77777777" w:rsidR="0031059A" w:rsidRDefault="0031059A" w:rsidP="0031059A">
      <w:pPr>
        <w:numPr>
          <w:ilvl w:val="0"/>
          <w:numId w:val="18"/>
        </w:numPr>
        <w:spacing w:after="0" w:line="240" w:lineRule="auto"/>
        <w:jc w:val="both"/>
        <w:rPr>
          <w:b/>
          <w:bCs/>
          <w:sz w:val="28"/>
          <w:szCs w:val="28"/>
          <w:rtl/>
          <w:lang w:bidi="ar-SY"/>
        </w:rPr>
      </w:pPr>
      <w:r>
        <w:rPr>
          <w:rFonts w:hint="cs"/>
          <w:b/>
          <w:bCs/>
          <w:rtl/>
          <w:lang w:bidi="ar-SY"/>
        </w:rPr>
        <w:t xml:space="preserve">طريقة </w:t>
      </w:r>
      <w:r>
        <w:rPr>
          <w:b/>
          <w:bCs/>
          <w:lang w:bidi="ar-SY"/>
        </w:rPr>
        <w:t>Jaffe</w:t>
      </w:r>
      <w:r>
        <w:rPr>
          <w:rFonts w:hint="cs"/>
          <w:b/>
          <w:bCs/>
          <w:rtl/>
          <w:lang w:bidi="ar-SY"/>
        </w:rPr>
        <w:t xml:space="preserve">: </w:t>
      </w:r>
    </w:p>
    <w:p w14:paraId="3292E1AF" w14:textId="77777777" w:rsidR="0031059A" w:rsidRDefault="0031059A" w:rsidP="0031059A">
      <w:pPr>
        <w:spacing w:after="0" w:line="240" w:lineRule="auto"/>
        <w:jc w:val="both"/>
        <w:rPr>
          <w:rtl/>
          <w:lang w:bidi="ar-SY"/>
        </w:rPr>
      </w:pPr>
      <w:r>
        <w:rPr>
          <w:rFonts w:hint="cs"/>
          <w:rtl/>
          <w:lang w:bidi="ar-SY"/>
        </w:rPr>
        <w:t>هي أقدم طريقة استخدمت منذ 100 عام ولازالت تستخدم حتى اليوم مع بعض التعديلات</w:t>
      </w:r>
      <w:r>
        <w:rPr>
          <w:lang w:bidi="ar-SY"/>
        </w:rPr>
        <w:t>.</w:t>
      </w:r>
    </w:p>
    <w:p w14:paraId="47E8C207" w14:textId="77777777" w:rsidR="0031059A" w:rsidRDefault="0031059A" w:rsidP="0031059A">
      <w:pPr>
        <w:spacing w:after="0" w:line="240" w:lineRule="auto"/>
        <w:jc w:val="both"/>
        <w:rPr>
          <w:rtl/>
          <w:lang w:bidi="ar-SY"/>
        </w:rPr>
      </w:pPr>
      <w:r>
        <w:rPr>
          <w:rFonts w:hint="cs"/>
          <w:u w:val="single"/>
          <w:rtl/>
          <w:lang w:bidi="ar-SY"/>
        </w:rPr>
        <w:t>المبدأ:</w:t>
      </w:r>
      <w:r>
        <w:rPr>
          <w:rFonts w:hint="cs"/>
          <w:rtl/>
          <w:lang w:bidi="ar-SY"/>
        </w:rPr>
        <w:t xml:space="preserve"> يعطي الكرياتينين مع حمض البيكريك في وسط قلوي معقد أصفر برتقالي (</w:t>
      </w:r>
      <w:r>
        <w:rPr>
          <w:lang w:bidi="ar-SY"/>
        </w:rPr>
        <w:t>Janowsky Complex</w:t>
      </w:r>
      <w:r>
        <w:rPr>
          <w:rFonts w:hint="cs"/>
          <w:rtl/>
          <w:lang w:bidi="ar-SY"/>
        </w:rPr>
        <w:t xml:space="preserve">) له امتصاص أعظمي عند طول موجة </w:t>
      </w:r>
      <w:r>
        <w:rPr>
          <w:lang w:bidi="ar-SY"/>
        </w:rPr>
        <w:t>490-520 nm</w:t>
      </w:r>
      <w:r>
        <w:rPr>
          <w:rFonts w:hint="cs"/>
          <w:rtl/>
          <w:lang w:bidi="ar-SY"/>
        </w:rPr>
        <w:t xml:space="preserve"> حيث يتم تفاعل الكرياتينين مع شاردة البيكرات</w:t>
      </w:r>
      <w:r>
        <w:rPr>
          <w:lang w:bidi="ar-SY"/>
        </w:rPr>
        <w:t>.</w:t>
      </w:r>
      <w:r>
        <w:rPr>
          <w:rtl/>
          <w:lang w:bidi="ar-SY"/>
        </w:rPr>
        <w:t xml:space="preserve"> </w:t>
      </w:r>
      <w:r>
        <w:rPr>
          <w:rFonts w:hint="cs"/>
          <w:rtl/>
          <w:lang w:bidi="ar-SY"/>
        </w:rPr>
        <w:t>أهم صعوبات تفاعل جافيه هي التداخلات المولدة للون الناتجة عن تفاعل بعض المركبات الموجودة في الأوساط الحيوية مع البيكرات والتي تبدي سرعة تفاعل أكثر من سرعة تفاعل الكرياتينين (حمض الأسكوربيك والأحماض الكيتونية والبيروفات) أو سرعة تفاعل أقل (الغلوكوز والبروتينات).</w:t>
      </w:r>
      <w:r>
        <w:rPr>
          <w:rFonts w:hint="cs"/>
          <w:lang w:bidi="ar-SY"/>
        </w:rPr>
        <w:t xml:space="preserve"> </w:t>
      </w:r>
    </w:p>
    <w:p w14:paraId="47685D03" w14:textId="77777777" w:rsidR="0031059A" w:rsidRDefault="0031059A" w:rsidP="0031059A">
      <w:pPr>
        <w:spacing w:after="0" w:line="240" w:lineRule="auto"/>
        <w:jc w:val="both"/>
        <w:rPr>
          <w:rtl/>
          <w:lang w:bidi="ar-SY"/>
        </w:rPr>
      </w:pPr>
      <w:r>
        <w:rPr>
          <w:rFonts w:hint="cs"/>
          <w:u w:val="single"/>
          <w:rtl/>
          <w:lang w:bidi="ar-SY"/>
        </w:rPr>
        <w:t>شروط العمل بهذه الطريقة:</w:t>
      </w:r>
      <w:r>
        <w:rPr>
          <w:rFonts w:hint="cs"/>
          <w:rtl/>
          <w:lang w:bidi="ar-SY"/>
        </w:rPr>
        <w:t xml:space="preserve"> حرارة ثابتة دون </w:t>
      </w:r>
      <w:r>
        <w:rPr>
          <w:lang w:bidi="ar-SY"/>
        </w:rPr>
        <w:t>˚35</w:t>
      </w:r>
      <w:r>
        <w:rPr>
          <w:rFonts w:hint="cs"/>
          <w:rtl/>
          <w:lang w:bidi="ar-SY"/>
        </w:rPr>
        <w:t>م و</w:t>
      </w:r>
      <w:r>
        <w:rPr>
          <w:lang w:bidi="ar-SY"/>
        </w:rPr>
        <w:t>pH</w:t>
      </w:r>
      <w:r>
        <w:rPr>
          <w:rFonts w:hint="cs"/>
          <w:rtl/>
          <w:lang w:bidi="ar-SY"/>
        </w:rPr>
        <w:t xml:space="preserve"> قلوي حوالي </w:t>
      </w:r>
      <w:r>
        <w:rPr>
          <w:lang w:bidi="ar-SY"/>
        </w:rPr>
        <w:t>11</w:t>
      </w:r>
      <w:r>
        <w:rPr>
          <w:rFonts w:hint="cs"/>
          <w:rtl/>
          <w:lang w:bidi="ar-SY"/>
        </w:rPr>
        <w:t xml:space="preserve">، حيث يجب الحفاظ على درجة حرارة أقل من </w:t>
      </w:r>
      <w:r>
        <w:rPr>
          <w:lang w:bidi="ar-SY"/>
        </w:rPr>
        <w:t>˚35</w:t>
      </w:r>
      <w:r>
        <w:rPr>
          <w:rFonts w:hint="cs"/>
          <w:rtl/>
          <w:lang w:bidi="ar-SY"/>
        </w:rPr>
        <w:t>م لتجنب الفعل المرجع القوي للغلوكوز وحمض البول وحمض الأسكوربيك على البيكرات في الوسط القلوي</w:t>
      </w:r>
      <w:r>
        <w:rPr>
          <w:lang w:bidi="ar-SY"/>
        </w:rPr>
        <w:t>.</w:t>
      </w:r>
      <w:r>
        <w:rPr>
          <w:rtl/>
          <w:lang w:bidi="ar-SY"/>
        </w:rPr>
        <w:t xml:space="preserve"> </w:t>
      </w:r>
    </w:p>
    <w:p w14:paraId="09C50719" w14:textId="77777777" w:rsidR="0031059A" w:rsidRDefault="0031059A" w:rsidP="0031059A">
      <w:pPr>
        <w:spacing w:after="0" w:line="240" w:lineRule="auto"/>
        <w:jc w:val="both"/>
        <w:rPr>
          <w:u w:val="single"/>
          <w:rtl/>
          <w:lang w:bidi="ar-SY"/>
        </w:rPr>
      </w:pPr>
      <w:r>
        <w:rPr>
          <w:rFonts w:hint="cs"/>
          <w:u w:val="single"/>
          <w:rtl/>
          <w:lang w:bidi="ar-SY"/>
        </w:rPr>
        <w:t>تم تعديل هذه الطريقة وذلك:</w:t>
      </w:r>
    </w:p>
    <w:p w14:paraId="66ADF6BD" w14:textId="77777777" w:rsidR="0031059A" w:rsidRDefault="0031059A" w:rsidP="0031059A">
      <w:pPr>
        <w:numPr>
          <w:ilvl w:val="0"/>
          <w:numId w:val="19"/>
        </w:numPr>
        <w:spacing w:after="0" w:line="240" w:lineRule="auto"/>
        <w:jc w:val="both"/>
        <w:rPr>
          <w:rtl/>
          <w:lang w:bidi="ar-SY"/>
        </w:rPr>
      </w:pPr>
      <w:r>
        <w:rPr>
          <w:rFonts w:hint="cs"/>
          <w:rtl/>
          <w:lang w:bidi="ar-SY"/>
        </w:rPr>
        <w:t xml:space="preserve">التخلص من البروتينات المتداخلة في التفاعل وذلك بعدة طرائق: إما بتجريد المصل وتطبيق التفاعل على الرشاحة الخالية من البروتينات </w:t>
      </w:r>
      <w:r>
        <w:rPr>
          <w:lang w:bidi="ar-SY"/>
        </w:rPr>
        <w:t>(protein-free filtrate) PFF</w:t>
      </w:r>
      <w:r>
        <w:rPr>
          <w:rFonts w:hint="cs"/>
          <w:rtl/>
          <w:lang w:bidi="ar-SY"/>
        </w:rPr>
        <w:t>أو بتجريد المصل ثم ادمصاص الكرياتينين على كاشف خاص ثم تطبيق تفاعل جافيه على الكرياتينين المدمص</w:t>
      </w:r>
      <w:r>
        <w:rPr>
          <w:lang w:bidi="ar-SY"/>
        </w:rPr>
        <w:t>.</w:t>
      </w:r>
    </w:p>
    <w:p w14:paraId="3ADF9464" w14:textId="75EF04E3" w:rsidR="0031059A" w:rsidRDefault="0031059A" w:rsidP="0031059A">
      <w:pPr>
        <w:numPr>
          <w:ilvl w:val="0"/>
          <w:numId w:val="19"/>
        </w:numPr>
        <w:spacing w:after="0" w:line="240" w:lineRule="auto"/>
        <w:jc w:val="both"/>
        <w:rPr>
          <w:rtl/>
          <w:lang w:bidi="ar-SY"/>
        </w:rPr>
      </w:pPr>
      <w:r>
        <w:rPr>
          <w:rFonts w:hint="cs"/>
          <w:rtl/>
          <w:lang w:bidi="ar-SY"/>
        </w:rPr>
        <w:t xml:space="preserve">أو بمتابعة حركية التفاعل وسميت بـ </w:t>
      </w:r>
      <w:r>
        <w:rPr>
          <w:lang w:bidi="ar-SY"/>
        </w:rPr>
        <w:t>Jaffe-kinetic</w:t>
      </w:r>
      <w:r>
        <w:rPr>
          <w:rtl/>
          <w:lang w:bidi="ar-SY"/>
        </w:rPr>
        <w:t xml:space="preserve"> </w:t>
      </w:r>
      <w:r>
        <w:rPr>
          <w:rFonts w:hint="cs"/>
          <w:rtl/>
          <w:lang w:bidi="ar-SY"/>
        </w:rPr>
        <w:t xml:space="preserve">حيث يتم الاستغناء عن تجريد المصل من البروتينات ولكن تتم قراءة الامتصاصية بعد 30 ثانية حتى </w:t>
      </w:r>
      <w:r w:rsidR="00160E10">
        <w:rPr>
          <w:rFonts w:hint="cs"/>
          <w:rtl/>
          <w:lang w:bidi="ar-SY"/>
        </w:rPr>
        <w:t>90</w:t>
      </w:r>
      <w:r>
        <w:rPr>
          <w:rFonts w:hint="cs"/>
          <w:rtl/>
          <w:lang w:bidi="ar-SY"/>
        </w:rPr>
        <w:t xml:space="preserve"> ثانية من بدء التفاعل وهنا لا يتم تجريد المصل لأن تفاعل البروتينات يتم بشكل أبطأ.</w:t>
      </w:r>
    </w:p>
    <w:p w14:paraId="2E4C911A" w14:textId="77777777" w:rsidR="0031059A" w:rsidRDefault="0031059A" w:rsidP="0031059A">
      <w:pPr>
        <w:spacing w:after="0" w:line="240" w:lineRule="auto"/>
        <w:jc w:val="both"/>
        <w:rPr>
          <w:rtl/>
          <w:lang w:bidi="ar-SY"/>
        </w:rPr>
      </w:pPr>
      <w:r>
        <w:rPr>
          <w:rFonts w:hint="cs"/>
          <w:rtl/>
          <w:lang w:bidi="ar-SY"/>
        </w:rPr>
        <w:t>القيم المرجعية بحسب طريقة جافيه:</w:t>
      </w:r>
    </w:p>
    <w:tbl>
      <w:tblPr>
        <w:tblStyle w:val="TableGrid"/>
        <w:tblW w:w="3000" w:type="pct"/>
        <w:jc w:val="center"/>
        <w:tblLook w:val="04A0" w:firstRow="1" w:lastRow="0" w:firstColumn="1" w:lastColumn="0" w:noHBand="0" w:noVBand="1"/>
      </w:tblPr>
      <w:tblGrid>
        <w:gridCol w:w="2899"/>
        <w:gridCol w:w="2511"/>
      </w:tblGrid>
      <w:tr w:rsidR="0031059A" w14:paraId="1C7CEDE8" w14:textId="77777777" w:rsidTr="0031059A">
        <w:trPr>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14:paraId="4A6764F1" w14:textId="77777777" w:rsidR="0031059A" w:rsidRDefault="0031059A">
            <w:pPr>
              <w:jc w:val="center"/>
              <w:rPr>
                <w:rtl/>
              </w:rPr>
            </w:pPr>
            <w:r>
              <w:rPr>
                <w:lang w:bidi="ar-SY"/>
              </w:rPr>
              <w:t>Urine</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B984ADD" w14:textId="77777777" w:rsidR="0031059A" w:rsidRDefault="0031059A">
            <w:pPr>
              <w:jc w:val="center"/>
              <w:rPr>
                <w:rtl/>
              </w:rPr>
            </w:pPr>
            <w:r>
              <w:rPr>
                <w:lang w:bidi="ar-SY"/>
              </w:rPr>
              <w:t>Plasma or Serum</w:t>
            </w:r>
          </w:p>
        </w:tc>
      </w:tr>
      <w:tr w:rsidR="0031059A" w14:paraId="0C5F9DCD" w14:textId="77777777" w:rsidTr="0031059A">
        <w:trPr>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14:paraId="7FBFAD3A" w14:textId="77777777" w:rsidR="0031059A" w:rsidRDefault="0031059A">
            <w:pPr>
              <w:jc w:val="center"/>
              <w:rPr>
                <w:rtl/>
              </w:rPr>
            </w:pPr>
            <w:r>
              <w:rPr>
                <w:lang w:bidi="ar-SY"/>
              </w:rPr>
              <w:t>Men: 800-2000 mg/24 h</w:t>
            </w:r>
          </w:p>
        </w:tc>
        <w:tc>
          <w:tcPr>
            <w:tcW w:w="2434" w:type="dxa"/>
            <w:tcBorders>
              <w:top w:val="single" w:sz="4" w:space="0" w:color="auto"/>
              <w:left w:val="single" w:sz="4" w:space="0" w:color="auto"/>
              <w:bottom w:val="single" w:sz="4" w:space="0" w:color="auto"/>
              <w:right w:val="single" w:sz="4" w:space="0" w:color="auto"/>
            </w:tcBorders>
            <w:vAlign w:val="center"/>
            <w:hideMark/>
          </w:tcPr>
          <w:p w14:paraId="77658300" w14:textId="77777777" w:rsidR="0031059A" w:rsidRDefault="0031059A">
            <w:pPr>
              <w:jc w:val="center"/>
              <w:rPr>
                <w:rtl/>
              </w:rPr>
            </w:pPr>
            <w:r>
              <w:rPr>
                <w:lang w:bidi="ar-SY"/>
              </w:rPr>
              <w:t>Men: 0.9-1.3 mg/dL</w:t>
            </w:r>
          </w:p>
        </w:tc>
      </w:tr>
      <w:tr w:rsidR="0031059A" w14:paraId="6289CB59" w14:textId="77777777" w:rsidTr="0031059A">
        <w:trPr>
          <w:jc w:val="center"/>
        </w:trPr>
        <w:tc>
          <w:tcPr>
            <w:tcW w:w="2811" w:type="dxa"/>
            <w:tcBorders>
              <w:top w:val="single" w:sz="4" w:space="0" w:color="auto"/>
              <w:left w:val="single" w:sz="4" w:space="0" w:color="auto"/>
              <w:bottom w:val="single" w:sz="4" w:space="0" w:color="auto"/>
              <w:right w:val="single" w:sz="4" w:space="0" w:color="auto"/>
            </w:tcBorders>
            <w:vAlign w:val="center"/>
            <w:hideMark/>
          </w:tcPr>
          <w:p w14:paraId="4B356C42" w14:textId="77777777" w:rsidR="0031059A" w:rsidRDefault="0031059A">
            <w:pPr>
              <w:jc w:val="center"/>
              <w:rPr>
                <w:rtl/>
              </w:rPr>
            </w:pPr>
            <w:r>
              <w:rPr>
                <w:lang w:bidi="ar-SY"/>
              </w:rPr>
              <w:t>Women: 600-1800 mg/24 h</w:t>
            </w:r>
          </w:p>
        </w:tc>
        <w:tc>
          <w:tcPr>
            <w:tcW w:w="2434" w:type="dxa"/>
            <w:tcBorders>
              <w:top w:val="single" w:sz="4" w:space="0" w:color="auto"/>
              <w:left w:val="single" w:sz="4" w:space="0" w:color="auto"/>
              <w:bottom w:val="single" w:sz="4" w:space="0" w:color="auto"/>
              <w:right w:val="single" w:sz="4" w:space="0" w:color="auto"/>
            </w:tcBorders>
            <w:vAlign w:val="center"/>
            <w:hideMark/>
          </w:tcPr>
          <w:p w14:paraId="5B86EEF3" w14:textId="77777777" w:rsidR="0031059A" w:rsidRDefault="0031059A">
            <w:pPr>
              <w:jc w:val="center"/>
              <w:rPr>
                <w:rtl/>
              </w:rPr>
            </w:pPr>
            <w:r>
              <w:rPr>
                <w:lang w:bidi="ar-SY"/>
              </w:rPr>
              <w:t>Women: 0.6-1.1 mg/dL</w:t>
            </w:r>
          </w:p>
        </w:tc>
      </w:tr>
    </w:tbl>
    <w:p w14:paraId="5B4B04D3" w14:textId="77777777" w:rsidR="0031059A" w:rsidRDefault="0031059A" w:rsidP="0031059A">
      <w:pPr>
        <w:spacing w:after="0" w:line="240" w:lineRule="auto"/>
        <w:jc w:val="both"/>
        <w:rPr>
          <w:sz w:val="28"/>
          <w:szCs w:val="28"/>
          <w:rtl/>
        </w:rPr>
      </w:pPr>
    </w:p>
    <w:p w14:paraId="6804F747" w14:textId="77777777" w:rsidR="0031059A" w:rsidRDefault="0031059A" w:rsidP="0031059A">
      <w:pPr>
        <w:numPr>
          <w:ilvl w:val="0"/>
          <w:numId w:val="18"/>
        </w:numPr>
        <w:spacing w:after="0" w:line="240" w:lineRule="auto"/>
        <w:jc w:val="both"/>
        <w:rPr>
          <w:rtl/>
        </w:rPr>
      </w:pPr>
      <w:r>
        <w:rPr>
          <w:rFonts w:hint="cs"/>
          <w:b/>
          <w:bCs/>
          <w:rtl/>
          <w:lang w:bidi="ar-SY"/>
        </w:rPr>
        <w:t>التفاعل مع أحد مشتقات البنزوئيك</w:t>
      </w:r>
      <w:r>
        <w:rPr>
          <w:rFonts w:hint="cs"/>
          <w:rtl/>
        </w:rPr>
        <w:t>:</w:t>
      </w:r>
    </w:p>
    <w:p w14:paraId="13E8D210" w14:textId="607FD9AD" w:rsidR="0031059A" w:rsidRPr="0031059A" w:rsidRDefault="0031059A" w:rsidP="0031059A">
      <w:pPr>
        <w:spacing w:after="0" w:line="240" w:lineRule="auto"/>
        <w:jc w:val="both"/>
        <w:rPr>
          <w:rtl/>
          <w:lang w:bidi="ar-SY"/>
        </w:rPr>
      </w:pPr>
      <w:r>
        <w:rPr>
          <w:rFonts w:hint="cs"/>
          <w:rtl/>
          <w:lang w:bidi="ar-SY"/>
        </w:rPr>
        <w:t>يعطي الكرياتينين مع حمض 1،3 ثنائي نترو البنزوئيك أو مشتقاته معقداً قرمزي اللون تقاس شدة امتصاصيته. وتسمح حساسية هذا التفاعل العالية 2 ملغ/ل باستخدامه بنجاح في المخبر السريري.</w:t>
      </w:r>
    </w:p>
    <w:p w14:paraId="1D6CC130" w14:textId="77777777" w:rsidR="0031059A" w:rsidRPr="0031059A" w:rsidRDefault="0031059A" w:rsidP="0031059A">
      <w:pPr>
        <w:spacing w:before="120" w:after="120" w:line="240" w:lineRule="auto"/>
        <w:jc w:val="both"/>
        <w:rPr>
          <w:rFonts w:eastAsiaTheme="majorEastAsia"/>
          <w:b/>
          <w:bCs/>
          <w:color w:val="2F5496" w:themeColor="accent1" w:themeShade="BF"/>
          <w:kern w:val="2"/>
          <w:sz w:val="26"/>
          <w:szCs w:val="26"/>
          <w:lang w:bidi="ar-SY"/>
          <w14:ligatures w14:val="standardContextual"/>
        </w:rPr>
      </w:pPr>
      <w:r w:rsidRPr="0031059A">
        <w:rPr>
          <w:rFonts w:eastAsiaTheme="majorEastAsia" w:hint="cs"/>
          <w:b/>
          <w:bCs/>
          <w:color w:val="2F5496" w:themeColor="accent1" w:themeShade="BF"/>
          <w:kern w:val="2"/>
          <w:sz w:val="26"/>
          <w:szCs w:val="26"/>
          <w:rtl/>
          <w:lang w:bidi="ar-SY"/>
          <w14:ligatures w14:val="standardContextual"/>
        </w:rPr>
        <w:t>التغيرات الفيزيولوجية والمرضية:</w:t>
      </w:r>
    </w:p>
    <w:p w14:paraId="703C1431" w14:textId="77777777" w:rsidR="0031059A" w:rsidRDefault="0031059A" w:rsidP="0031059A">
      <w:pPr>
        <w:spacing w:after="0" w:line="240" w:lineRule="auto"/>
        <w:jc w:val="both"/>
        <w:rPr>
          <w:sz w:val="28"/>
          <w:szCs w:val="28"/>
          <w:rtl/>
          <w:lang w:bidi="ar-SY"/>
        </w:rPr>
      </w:pPr>
      <w:r>
        <w:rPr>
          <w:rFonts w:hint="cs"/>
          <w:rtl/>
          <w:lang w:bidi="ar-SY"/>
        </w:rPr>
        <w:t xml:space="preserve">إن كمية الكرياتينين المفرغة من الجسم تتناسب طرداً مع محتوى العضلات من الفوسفوكرياتين لذلك يمكن أن يستعمل لتقييم الكتلة العضلية أي عندما تنقص الكتلة العضلية لأي سبب (شلل أو ضمور عضلي) </w:t>
      </w:r>
      <w:r>
        <w:rPr>
          <w:rFonts w:hint="cs"/>
          <w:b/>
          <w:bCs/>
          <w:rtl/>
          <w:lang w:bidi="ar-SY"/>
        </w:rPr>
        <w:t xml:space="preserve">ينقص </w:t>
      </w:r>
      <w:r>
        <w:rPr>
          <w:rFonts w:hint="cs"/>
          <w:rtl/>
          <w:lang w:bidi="ar-SY"/>
        </w:rPr>
        <w:t>محتوى البول من الكرياتينين. وإن أي ارتفاع في كرياتينين الدم يعتبر مشعراً حساساً لسوء الوظيفة الكلوية على اعتبار أنه يفرغ في البول بشكل كامل. يختلف تركيز الكرياتينين بين الرجال والنساء نتيجة اختلاف الكتلة العضلية</w:t>
      </w:r>
      <w:r>
        <w:rPr>
          <w:lang w:bidi="ar-SY"/>
        </w:rPr>
        <w:t>.</w:t>
      </w:r>
      <w:r>
        <w:rPr>
          <w:rtl/>
          <w:lang w:bidi="ar-SY"/>
        </w:rPr>
        <w:t xml:space="preserve"> </w:t>
      </w:r>
      <w:r>
        <w:rPr>
          <w:rFonts w:hint="cs"/>
          <w:b/>
          <w:bCs/>
          <w:rtl/>
          <w:lang w:bidi="ar-SY"/>
        </w:rPr>
        <w:t>ترتفع</w:t>
      </w:r>
      <w:r>
        <w:rPr>
          <w:rFonts w:hint="cs"/>
          <w:rtl/>
          <w:lang w:bidi="ar-SY"/>
        </w:rPr>
        <w:t xml:space="preserve"> قيمة الكرياتينين في البلازما في الحالات التالية</w:t>
      </w:r>
      <w:r>
        <w:rPr>
          <w:lang w:bidi="ar-SY"/>
        </w:rPr>
        <w:t>:</w:t>
      </w:r>
    </w:p>
    <w:p w14:paraId="4BDFA020" w14:textId="77777777" w:rsidR="0031059A" w:rsidRDefault="0031059A" w:rsidP="0031059A">
      <w:pPr>
        <w:numPr>
          <w:ilvl w:val="0"/>
          <w:numId w:val="20"/>
        </w:numPr>
        <w:spacing w:after="0" w:line="240" w:lineRule="auto"/>
        <w:jc w:val="both"/>
        <w:rPr>
          <w:rtl/>
          <w:lang w:bidi="ar-SY"/>
        </w:rPr>
      </w:pPr>
      <w:r>
        <w:rPr>
          <w:rFonts w:hint="cs"/>
          <w:rtl/>
          <w:lang w:bidi="ar-SY"/>
        </w:rPr>
        <w:t xml:space="preserve">زيادة اصطناعه الحيوي في حالات العملقة وضخامة النهايات </w:t>
      </w:r>
      <w:r>
        <w:rPr>
          <w:lang w:bidi="ar-SY"/>
        </w:rPr>
        <w:t>acromegaly</w:t>
      </w:r>
      <w:r>
        <w:rPr>
          <w:rFonts w:hint="cs"/>
          <w:rtl/>
          <w:lang w:bidi="ar-SY"/>
        </w:rPr>
        <w:t>.</w:t>
      </w:r>
    </w:p>
    <w:p w14:paraId="5D0EBD12" w14:textId="77777777" w:rsidR="0031059A" w:rsidRDefault="0031059A" w:rsidP="0031059A">
      <w:pPr>
        <w:numPr>
          <w:ilvl w:val="0"/>
          <w:numId w:val="20"/>
        </w:numPr>
        <w:spacing w:after="0" w:line="240" w:lineRule="auto"/>
        <w:jc w:val="both"/>
        <w:rPr>
          <w:lang w:bidi="ar-SY"/>
        </w:rPr>
      </w:pPr>
      <w:r>
        <w:rPr>
          <w:rFonts w:hint="cs"/>
          <w:rtl/>
          <w:lang w:bidi="ar-SY"/>
        </w:rPr>
        <w:t xml:space="preserve">الاضطرابات الكلوية التهاب الكبب والكلية </w:t>
      </w:r>
      <w:r>
        <w:rPr>
          <w:lang w:bidi="ar-SY"/>
        </w:rPr>
        <w:t>glomerulonephritis</w:t>
      </w:r>
      <w:r>
        <w:rPr>
          <w:rtl/>
          <w:lang w:bidi="ar-SY"/>
        </w:rPr>
        <w:t xml:space="preserve"> </w:t>
      </w:r>
      <w:r>
        <w:rPr>
          <w:rFonts w:hint="cs"/>
          <w:rtl/>
          <w:lang w:bidi="ar-SY"/>
        </w:rPr>
        <w:t>والقصور الكلوي.</w:t>
      </w:r>
    </w:p>
    <w:p w14:paraId="19784664" w14:textId="77777777" w:rsidR="0031059A" w:rsidRDefault="0031059A" w:rsidP="0031059A">
      <w:pPr>
        <w:numPr>
          <w:ilvl w:val="0"/>
          <w:numId w:val="21"/>
        </w:numPr>
        <w:spacing w:after="0" w:line="240" w:lineRule="auto"/>
        <w:jc w:val="both"/>
        <w:rPr>
          <w:lang w:bidi="ar-SY"/>
        </w:rPr>
      </w:pPr>
      <w:r>
        <w:rPr>
          <w:rFonts w:hint="cs"/>
          <w:rtl/>
          <w:lang w:bidi="ar-SY"/>
        </w:rPr>
        <w:t xml:space="preserve">قصور قلب احتقاني شديد حيث يتضاعف تركيز الكرياتينين في المصل عند نقص سرعة الترشيح الكبيبي </w:t>
      </w:r>
      <w:r>
        <w:rPr>
          <w:lang w:bidi="ar-SY"/>
        </w:rPr>
        <w:t>GFR</w:t>
      </w:r>
      <w:r>
        <w:rPr>
          <w:rtl/>
          <w:lang w:bidi="ar-SY"/>
        </w:rPr>
        <w:t xml:space="preserve"> </w:t>
      </w:r>
      <w:r>
        <w:rPr>
          <w:rFonts w:hint="cs"/>
          <w:rtl/>
          <w:lang w:bidi="ar-SY"/>
        </w:rPr>
        <w:t>بمعدل 50%.</w:t>
      </w:r>
    </w:p>
    <w:p w14:paraId="12172904" w14:textId="586B8313" w:rsidR="00074732" w:rsidRDefault="0031059A" w:rsidP="0031059A">
      <w:pPr>
        <w:numPr>
          <w:ilvl w:val="0"/>
          <w:numId w:val="21"/>
        </w:numPr>
        <w:spacing w:after="0" w:line="240" w:lineRule="auto"/>
        <w:jc w:val="both"/>
        <w:rPr>
          <w:rtl/>
          <w:lang w:bidi="ar-SY"/>
        </w:rPr>
      </w:pPr>
      <w:r>
        <w:rPr>
          <w:rFonts w:hint="cs"/>
          <w:rtl/>
          <w:lang w:bidi="ar-SY"/>
        </w:rPr>
        <w:t>بعض الأدوية تزيد تركيزه في المصل كالساليسيلات والسيميتدين.</w:t>
      </w:r>
    </w:p>
    <w:p w14:paraId="4BE3F317" w14:textId="77777777" w:rsidR="00074732" w:rsidRDefault="00074732" w:rsidP="00074732">
      <w:pPr>
        <w:spacing w:after="0" w:line="240" w:lineRule="auto"/>
        <w:jc w:val="both"/>
        <w:rPr>
          <w:rtl/>
          <w:lang w:bidi="ar-SY"/>
        </w:rPr>
      </w:pPr>
    </w:p>
    <w:p w14:paraId="0A2705A4" w14:textId="77777777" w:rsidR="00074732" w:rsidRDefault="00074732" w:rsidP="00074732">
      <w:pPr>
        <w:spacing w:after="0" w:line="240" w:lineRule="auto"/>
        <w:jc w:val="both"/>
        <w:rPr>
          <w:rtl/>
          <w:lang w:bidi="ar-SY"/>
        </w:rPr>
      </w:pPr>
    </w:p>
    <w:p w14:paraId="00BFED8B" w14:textId="77777777" w:rsidR="00074732" w:rsidRDefault="00074732" w:rsidP="00074732">
      <w:pPr>
        <w:spacing w:after="0" w:line="240" w:lineRule="auto"/>
        <w:jc w:val="both"/>
        <w:rPr>
          <w:rtl/>
          <w:lang w:bidi="ar-SY"/>
        </w:rPr>
      </w:pPr>
    </w:p>
    <w:p w14:paraId="015FCA88" w14:textId="77777777" w:rsidR="00074732" w:rsidRPr="009B121E" w:rsidRDefault="00074732" w:rsidP="00074732">
      <w:pPr>
        <w:spacing w:after="0" w:line="240" w:lineRule="auto"/>
        <w:jc w:val="both"/>
        <w:rPr>
          <w:rtl/>
          <w:lang w:bidi="ar-SY"/>
        </w:rPr>
      </w:pPr>
    </w:p>
    <w:p w14:paraId="4EAE86EF" w14:textId="03602C2D" w:rsidR="0031059A" w:rsidRPr="0031059A" w:rsidRDefault="00074732" w:rsidP="0031059A">
      <w:pPr>
        <w:spacing w:before="120" w:after="120" w:line="240" w:lineRule="auto"/>
        <w:jc w:val="both"/>
        <w:rPr>
          <w:b/>
          <w:bCs/>
        </w:rPr>
      </w:pPr>
      <w:r w:rsidRPr="00074732">
        <w:rPr>
          <w:rFonts w:eastAsiaTheme="majorEastAsia" w:hint="cs"/>
          <w:b/>
          <w:bCs/>
          <w:color w:val="2F5496" w:themeColor="accent1" w:themeShade="BF"/>
          <w:kern w:val="2"/>
          <w:sz w:val="26"/>
          <w:szCs w:val="26"/>
          <w:rtl/>
          <w:lang w:bidi="ar-SY"/>
          <w14:ligatures w14:val="standardContextual"/>
        </w:rPr>
        <w:t>القسم العملي:</w:t>
      </w:r>
      <w:r w:rsidR="0031059A" w:rsidRPr="0031059A">
        <w:rPr>
          <w:rFonts w:hint="cs"/>
          <w:b/>
          <w:bCs/>
          <w:sz w:val="32"/>
          <w:szCs w:val="32"/>
          <w:rtl/>
        </w:rPr>
        <w:t xml:space="preserve"> </w:t>
      </w:r>
      <w:r w:rsidR="0031059A" w:rsidRPr="0031059A">
        <w:rPr>
          <w:rFonts w:hint="cs"/>
          <w:b/>
          <w:bCs/>
          <w:rtl/>
        </w:rPr>
        <w:t xml:space="preserve">معايرة تركيز كرياتينين عينة مجهولة بطريقة </w:t>
      </w:r>
      <w:r w:rsidR="0031059A" w:rsidRPr="0031059A">
        <w:rPr>
          <w:b/>
          <w:bCs/>
        </w:rPr>
        <w:t>Jaffe</w:t>
      </w:r>
    </w:p>
    <w:p w14:paraId="187B675A" w14:textId="77777777" w:rsidR="0031059A" w:rsidRDefault="0031059A" w:rsidP="0031059A">
      <w:pPr>
        <w:numPr>
          <w:ilvl w:val="0"/>
          <w:numId w:val="21"/>
        </w:numPr>
        <w:spacing w:after="0" w:line="240" w:lineRule="auto"/>
        <w:jc w:val="both"/>
        <w:rPr>
          <w:sz w:val="28"/>
          <w:szCs w:val="28"/>
          <w:rtl/>
          <w:lang w:bidi="ar-SY"/>
        </w:rPr>
      </w:pPr>
      <w:r>
        <w:rPr>
          <w:rFonts w:hint="cs"/>
          <w:rtl/>
          <w:lang w:bidi="ar-SY"/>
        </w:rPr>
        <w:t xml:space="preserve">حضّر محلول العمل بمزج حجوم متساوية من المحلول </w:t>
      </w:r>
      <w:r>
        <w:rPr>
          <w:lang w:bidi="ar-SY"/>
        </w:rPr>
        <w:t>A</w:t>
      </w:r>
      <w:r>
        <w:rPr>
          <w:rFonts w:hint="cs"/>
          <w:rtl/>
          <w:lang w:bidi="ar-SY"/>
        </w:rPr>
        <w:t xml:space="preserve"> (هيدروكسيد الصوديوم) والمحلول </w:t>
      </w:r>
      <w:r>
        <w:rPr>
          <w:lang w:bidi="ar-SY"/>
        </w:rPr>
        <w:t>B</w:t>
      </w:r>
      <w:r>
        <w:rPr>
          <w:rFonts w:hint="cs"/>
          <w:rtl/>
          <w:lang w:bidi="ar-SY"/>
        </w:rPr>
        <w:t xml:space="preserve"> (حمض البيكريك).</w:t>
      </w:r>
    </w:p>
    <w:p w14:paraId="5138AA15" w14:textId="77777777" w:rsidR="0031059A" w:rsidRDefault="0031059A" w:rsidP="0031059A">
      <w:pPr>
        <w:numPr>
          <w:ilvl w:val="0"/>
          <w:numId w:val="21"/>
        </w:numPr>
        <w:spacing w:after="0" w:line="240" w:lineRule="auto"/>
        <w:jc w:val="both"/>
        <w:rPr>
          <w:lang w:bidi="ar-SY"/>
        </w:rPr>
      </w:pPr>
      <w:r>
        <w:rPr>
          <w:rFonts w:hint="cs"/>
          <w:rtl/>
          <w:lang w:bidi="ar-SY"/>
        </w:rPr>
        <w:t xml:space="preserve">يحضن محلول العمل </w:t>
      </w:r>
      <w:r>
        <w:rPr>
          <w:lang w:bidi="ar-SY"/>
        </w:rPr>
        <w:t>working Reagent</w:t>
      </w:r>
      <w:r>
        <w:rPr>
          <w:rtl/>
          <w:lang w:bidi="ar-SY"/>
        </w:rPr>
        <w:t xml:space="preserve"> </w:t>
      </w:r>
      <w:r>
        <w:rPr>
          <w:rFonts w:hint="cs"/>
          <w:rtl/>
          <w:lang w:bidi="ar-SY"/>
        </w:rPr>
        <w:t xml:space="preserve">بالحمام المائي بالدرجة </w:t>
      </w:r>
      <w:r>
        <w:rPr>
          <w:lang w:bidi="ar-SY"/>
        </w:rPr>
        <w:t>37</w:t>
      </w:r>
      <w:r>
        <w:rPr>
          <w:rtl/>
          <w:lang w:bidi="ar-SY"/>
        </w:rPr>
        <w:t xml:space="preserve"> </w:t>
      </w:r>
      <w:r>
        <w:rPr>
          <w:rFonts w:hint="cs"/>
          <w:rtl/>
          <w:lang w:bidi="ar-SY"/>
        </w:rPr>
        <w:t>لمدة 5 دقائق.</w:t>
      </w:r>
    </w:p>
    <w:p w14:paraId="05E1BEED" w14:textId="77777777" w:rsidR="0031059A" w:rsidRDefault="0031059A" w:rsidP="0031059A">
      <w:pPr>
        <w:numPr>
          <w:ilvl w:val="0"/>
          <w:numId w:val="21"/>
        </w:numPr>
        <w:spacing w:after="0" w:line="240" w:lineRule="auto"/>
        <w:jc w:val="both"/>
        <w:rPr>
          <w:rtl/>
          <w:lang w:bidi="ar-SY"/>
        </w:rPr>
      </w:pPr>
      <w:r>
        <w:rPr>
          <w:rFonts w:hint="cs"/>
          <w:rtl/>
          <w:lang w:bidi="ar-SY"/>
        </w:rPr>
        <w:t>قم بتحضير 3 أنابيب اختبار كما يلي:</w:t>
      </w:r>
    </w:p>
    <w:tbl>
      <w:tblPr>
        <w:bidiVisual/>
        <w:tblW w:w="4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15"/>
        <w:gridCol w:w="1555"/>
        <w:gridCol w:w="3220"/>
      </w:tblGrid>
      <w:tr w:rsidR="0031059A" w14:paraId="736B4E5A" w14:textId="77777777" w:rsidTr="0031059A">
        <w:trPr>
          <w:jc w:val="center"/>
        </w:trPr>
        <w:tc>
          <w:tcPr>
            <w:tcW w:w="1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662EAA" w14:textId="77777777" w:rsidR="0031059A" w:rsidRDefault="0031059A">
            <w:pPr>
              <w:spacing w:after="0" w:line="240" w:lineRule="auto"/>
              <w:jc w:val="center"/>
              <w:rPr>
                <w:lang w:bidi="ar-SY"/>
              </w:rPr>
            </w:pPr>
            <w:r>
              <w:rPr>
                <w:lang w:bidi="ar-SY"/>
              </w:rPr>
              <w:t>Sample</w:t>
            </w:r>
          </w:p>
        </w:tc>
        <w:tc>
          <w:tcPr>
            <w:tcW w:w="1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18FBD0" w14:textId="77777777" w:rsidR="0031059A" w:rsidRDefault="0031059A">
            <w:pPr>
              <w:spacing w:after="0" w:line="240" w:lineRule="auto"/>
              <w:jc w:val="center"/>
              <w:rPr>
                <w:lang w:bidi="ar-SY"/>
              </w:rPr>
            </w:pPr>
            <w:r>
              <w:rPr>
                <w:lang w:bidi="ar-SY"/>
              </w:rPr>
              <w:t>Standard</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11C0C" w14:textId="77777777" w:rsidR="0031059A" w:rsidRDefault="0031059A">
            <w:pPr>
              <w:spacing w:after="0" w:line="240" w:lineRule="auto"/>
              <w:jc w:val="center"/>
              <w:rPr>
                <w:rtl/>
                <w:lang w:bidi="ar-SY"/>
              </w:rPr>
            </w:pPr>
            <w:r>
              <w:rPr>
                <w:lang w:bidi="ar-SY"/>
              </w:rPr>
              <w:t>Blank</w:t>
            </w:r>
          </w:p>
        </w:tc>
        <w:tc>
          <w:tcPr>
            <w:tcW w:w="3520" w:type="dxa"/>
            <w:tcBorders>
              <w:top w:val="single" w:sz="4" w:space="0" w:color="auto"/>
              <w:left w:val="single" w:sz="4" w:space="0" w:color="auto"/>
              <w:bottom w:val="single" w:sz="4" w:space="0" w:color="auto"/>
              <w:right w:val="single" w:sz="4" w:space="0" w:color="auto"/>
            </w:tcBorders>
            <w:vAlign w:val="center"/>
          </w:tcPr>
          <w:p w14:paraId="0C1DEF20" w14:textId="77777777" w:rsidR="0031059A" w:rsidRDefault="0031059A">
            <w:pPr>
              <w:spacing w:after="0" w:line="240" w:lineRule="auto"/>
              <w:jc w:val="center"/>
              <w:rPr>
                <w:rtl/>
                <w:lang w:bidi="ar-SY"/>
              </w:rPr>
            </w:pPr>
          </w:p>
        </w:tc>
      </w:tr>
      <w:tr w:rsidR="0031059A" w14:paraId="39FB67A5" w14:textId="77777777" w:rsidTr="0031059A">
        <w:trPr>
          <w:jc w:val="center"/>
        </w:trPr>
        <w:tc>
          <w:tcPr>
            <w:tcW w:w="1925" w:type="dxa"/>
            <w:tcBorders>
              <w:top w:val="single" w:sz="4" w:space="0" w:color="auto"/>
              <w:left w:val="single" w:sz="4" w:space="0" w:color="auto"/>
              <w:bottom w:val="single" w:sz="4" w:space="0" w:color="auto"/>
              <w:right w:val="single" w:sz="4" w:space="0" w:color="auto"/>
            </w:tcBorders>
            <w:vAlign w:val="center"/>
            <w:hideMark/>
          </w:tcPr>
          <w:p w14:paraId="76A9C795" w14:textId="77777777" w:rsidR="0031059A" w:rsidRDefault="0031059A">
            <w:pPr>
              <w:spacing w:after="0" w:line="240" w:lineRule="auto"/>
              <w:jc w:val="center"/>
              <w:rPr>
                <w:rtl/>
                <w:lang w:bidi="ar-SY"/>
              </w:rPr>
            </w:pPr>
            <w:r>
              <w:rPr>
                <w:rFonts w:hint="cs"/>
                <w:rtl/>
                <w:lang w:bidi="ar-SY"/>
              </w:rPr>
              <w:t>ـــ</w:t>
            </w:r>
          </w:p>
        </w:tc>
        <w:tc>
          <w:tcPr>
            <w:tcW w:w="1935" w:type="dxa"/>
            <w:tcBorders>
              <w:top w:val="single" w:sz="4" w:space="0" w:color="auto"/>
              <w:left w:val="single" w:sz="4" w:space="0" w:color="auto"/>
              <w:bottom w:val="single" w:sz="4" w:space="0" w:color="auto"/>
              <w:right w:val="single" w:sz="4" w:space="0" w:color="auto"/>
            </w:tcBorders>
            <w:vAlign w:val="center"/>
            <w:hideMark/>
          </w:tcPr>
          <w:p w14:paraId="6A5A86C1" w14:textId="77777777" w:rsidR="0031059A" w:rsidRDefault="0031059A">
            <w:pPr>
              <w:spacing w:after="0" w:line="240" w:lineRule="auto"/>
              <w:jc w:val="center"/>
              <w:rPr>
                <w:rtl/>
                <w:lang w:bidi="ar-SY"/>
              </w:rPr>
            </w:pPr>
            <w:r>
              <w:rPr>
                <w:lang w:bidi="ar-SY"/>
              </w:rPr>
              <w:t xml:space="preserve">100 </w:t>
            </w:r>
            <w:r>
              <w:rPr>
                <w:rFonts w:ascii="Cambria" w:hAnsi="Cambria" w:cs="Cambria"/>
                <w:lang w:bidi="ar-SY"/>
              </w:rPr>
              <w:t>μ</w:t>
            </w:r>
            <w:r>
              <w:rPr>
                <w:lang w:bidi="ar-SY"/>
              </w:rPr>
              <w:t>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DF07C0C" w14:textId="77777777" w:rsidR="0031059A" w:rsidRDefault="0031059A">
            <w:pPr>
              <w:spacing w:after="0" w:line="240" w:lineRule="auto"/>
              <w:jc w:val="center"/>
              <w:rPr>
                <w:lang w:bidi="ar-SY"/>
              </w:rPr>
            </w:pPr>
            <w:r>
              <w:rPr>
                <w:rFonts w:hint="cs"/>
                <w:rtl/>
                <w:lang w:bidi="ar-SY"/>
              </w:rPr>
              <w:t>ـــ</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D39B58" w14:textId="77777777" w:rsidR="0031059A" w:rsidRDefault="0031059A">
            <w:pPr>
              <w:spacing w:after="0" w:line="240" w:lineRule="auto"/>
              <w:jc w:val="center"/>
              <w:rPr>
                <w:rtl/>
                <w:lang w:bidi="ar-SY"/>
              </w:rPr>
            </w:pPr>
            <w:r>
              <w:rPr>
                <w:lang w:bidi="ar-SY"/>
              </w:rPr>
              <w:t>Standard</w:t>
            </w:r>
          </w:p>
        </w:tc>
      </w:tr>
      <w:tr w:rsidR="0031059A" w14:paraId="11AFC77D" w14:textId="77777777" w:rsidTr="0031059A">
        <w:trPr>
          <w:jc w:val="center"/>
        </w:trPr>
        <w:tc>
          <w:tcPr>
            <w:tcW w:w="1925" w:type="dxa"/>
            <w:tcBorders>
              <w:top w:val="single" w:sz="4" w:space="0" w:color="auto"/>
              <w:left w:val="single" w:sz="4" w:space="0" w:color="auto"/>
              <w:bottom w:val="single" w:sz="4" w:space="0" w:color="auto"/>
              <w:right w:val="single" w:sz="4" w:space="0" w:color="auto"/>
            </w:tcBorders>
            <w:vAlign w:val="center"/>
            <w:hideMark/>
          </w:tcPr>
          <w:p w14:paraId="7CC3F556" w14:textId="77777777" w:rsidR="0031059A" w:rsidRDefault="0031059A">
            <w:pPr>
              <w:spacing w:after="0" w:line="240" w:lineRule="auto"/>
              <w:jc w:val="center"/>
              <w:rPr>
                <w:rtl/>
                <w:lang w:bidi="ar-SY"/>
              </w:rPr>
            </w:pPr>
            <w:r>
              <w:rPr>
                <w:lang w:bidi="ar-SY"/>
              </w:rPr>
              <w:t xml:space="preserve">100 </w:t>
            </w:r>
            <w:r>
              <w:rPr>
                <w:rFonts w:ascii="Cambria" w:hAnsi="Cambria" w:cs="Cambria"/>
                <w:lang w:bidi="ar-SY"/>
              </w:rPr>
              <w:t>μ</w:t>
            </w:r>
            <w:r>
              <w:rPr>
                <w:lang w:bidi="ar-SY"/>
              </w:rPr>
              <w:t>L</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4A7E0A1" w14:textId="77777777" w:rsidR="0031059A" w:rsidRDefault="0031059A">
            <w:pPr>
              <w:spacing w:after="0" w:line="240" w:lineRule="auto"/>
              <w:jc w:val="center"/>
              <w:rPr>
                <w:rtl/>
                <w:lang w:bidi="ar-SY"/>
              </w:rPr>
            </w:pPr>
            <w:r>
              <w:rPr>
                <w:rFonts w:hint="cs"/>
                <w:rtl/>
                <w:lang w:bidi="ar-SY"/>
              </w:rPr>
              <w:t>ـــ</w:t>
            </w:r>
          </w:p>
        </w:tc>
        <w:tc>
          <w:tcPr>
            <w:tcW w:w="1673" w:type="dxa"/>
            <w:tcBorders>
              <w:top w:val="single" w:sz="4" w:space="0" w:color="auto"/>
              <w:left w:val="single" w:sz="4" w:space="0" w:color="auto"/>
              <w:bottom w:val="single" w:sz="4" w:space="0" w:color="auto"/>
              <w:right w:val="single" w:sz="4" w:space="0" w:color="auto"/>
            </w:tcBorders>
            <w:vAlign w:val="center"/>
            <w:hideMark/>
          </w:tcPr>
          <w:p w14:paraId="376121AF" w14:textId="77777777" w:rsidR="0031059A" w:rsidRDefault="0031059A">
            <w:pPr>
              <w:spacing w:after="0" w:line="240" w:lineRule="auto"/>
              <w:jc w:val="center"/>
              <w:rPr>
                <w:rtl/>
                <w:lang w:bidi="ar-SY"/>
              </w:rPr>
            </w:pPr>
            <w:r>
              <w:rPr>
                <w:rFonts w:hint="cs"/>
                <w:rtl/>
                <w:lang w:bidi="ar-SY"/>
              </w:rPr>
              <w:t>ـــ</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5FBF6" w14:textId="77777777" w:rsidR="0031059A" w:rsidRDefault="0031059A">
            <w:pPr>
              <w:spacing w:after="0" w:line="240" w:lineRule="auto"/>
              <w:jc w:val="center"/>
              <w:rPr>
                <w:rtl/>
                <w:lang w:bidi="ar-SY"/>
              </w:rPr>
            </w:pPr>
            <w:r>
              <w:rPr>
                <w:lang w:bidi="ar-SY"/>
              </w:rPr>
              <w:t>Sample</w:t>
            </w:r>
          </w:p>
        </w:tc>
      </w:tr>
      <w:tr w:rsidR="0031059A" w14:paraId="6381D86E" w14:textId="77777777" w:rsidTr="0031059A">
        <w:trPr>
          <w:jc w:val="center"/>
        </w:trPr>
        <w:tc>
          <w:tcPr>
            <w:tcW w:w="1925" w:type="dxa"/>
            <w:tcBorders>
              <w:top w:val="single" w:sz="4" w:space="0" w:color="auto"/>
              <w:left w:val="single" w:sz="4" w:space="0" w:color="auto"/>
              <w:bottom w:val="single" w:sz="4" w:space="0" w:color="auto"/>
              <w:right w:val="single" w:sz="4" w:space="0" w:color="auto"/>
            </w:tcBorders>
            <w:vAlign w:val="center"/>
            <w:hideMark/>
          </w:tcPr>
          <w:p w14:paraId="1F84C5F4" w14:textId="77777777" w:rsidR="0031059A" w:rsidRDefault="0031059A">
            <w:pPr>
              <w:spacing w:after="0" w:line="240" w:lineRule="auto"/>
              <w:jc w:val="center"/>
              <w:rPr>
                <w:rtl/>
                <w:lang w:bidi="ar-SY"/>
              </w:rPr>
            </w:pPr>
            <w:r>
              <w:rPr>
                <w:lang w:bidi="ar-SY"/>
              </w:rPr>
              <w:t>1.0 mL</w:t>
            </w:r>
          </w:p>
        </w:tc>
        <w:tc>
          <w:tcPr>
            <w:tcW w:w="1935" w:type="dxa"/>
            <w:tcBorders>
              <w:top w:val="single" w:sz="4" w:space="0" w:color="auto"/>
              <w:left w:val="single" w:sz="4" w:space="0" w:color="auto"/>
              <w:bottom w:val="single" w:sz="4" w:space="0" w:color="auto"/>
              <w:right w:val="single" w:sz="4" w:space="0" w:color="auto"/>
            </w:tcBorders>
            <w:vAlign w:val="center"/>
            <w:hideMark/>
          </w:tcPr>
          <w:p w14:paraId="43AAD651" w14:textId="77777777" w:rsidR="0031059A" w:rsidRDefault="0031059A">
            <w:pPr>
              <w:spacing w:after="0" w:line="240" w:lineRule="auto"/>
              <w:jc w:val="center"/>
              <w:rPr>
                <w:rtl/>
                <w:lang w:bidi="ar-SY"/>
              </w:rPr>
            </w:pPr>
            <w:r>
              <w:rPr>
                <w:lang w:bidi="ar-SY"/>
              </w:rPr>
              <w:t>1.0 mL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0BECAF81" w14:textId="77777777" w:rsidR="0031059A" w:rsidRDefault="0031059A">
            <w:pPr>
              <w:spacing w:after="0" w:line="240" w:lineRule="auto"/>
              <w:jc w:val="center"/>
              <w:rPr>
                <w:rtl/>
                <w:lang w:bidi="ar-SY"/>
              </w:rPr>
            </w:pPr>
            <w:r>
              <w:rPr>
                <w:lang w:bidi="ar-SY"/>
              </w:rPr>
              <w:t>1.0 mL</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5A5AF" w14:textId="77777777" w:rsidR="0031059A" w:rsidRDefault="0031059A">
            <w:pPr>
              <w:spacing w:after="0" w:line="240" w:lineRule="auto"/>
              <w:jc w:val="center"/>
              <w:rPr>
                <w:rtl/>
                <w:lang w:bidi="ar-SY"/>
              </w:rPr>
            </w:pPr>
            <w:r>
              <w:rPr>
                <w:lang w:bidi="ar-SY"/>
              </w:rPr>
              <w:t>Working Reagent</w:t>
            </w:r>
          </w:p>
        </w:tc>
      </w:tr>
    </w:tbl>
    <w:p w14:paraId="0758D419" w14:textId="0173BE3C" w:rsidR="0031059A" w:rsidRDefault="0031059A" w:rsidP="0031059A">
      <w:pPr>
        <w:numPr>
          <w:ilvl w:val="0"/>
          <w:numId w:val="21"/>
        </w:numPr>
        <w:spacing w:after="0" w:line="240" w:lineRule="auto"/>
        <w:jc w:val="both"/>
        <w:rPr>
          <w:sz w:val="28"/>
          <w:szCs w:val="28"/>
          <w:rtl/>
          <w:lang w:bidi="ar-SY"/>
        </w:rPr>
      </w:pPr>
      <w:r>
        <w:rPr>
          <w:rFonts w:hint="cs"/>
          <w:rtl/>
        </w:rPr>
        <w:t xml:space="preserve">قم </w:t>
      </w:r>
      <w:r>
        <w:rPr>
          <w:rFonts w:hint="cs"/>
          <w:rtl/>
          <w:lang w:bidi="ar-SY"/>
        </w:rPr>
        <w:t xml:space="preserve">بقياس الامتصاصية عند طول موجة </w:t>
      </w:r>
      <w:r>
        <w:rPr>
          <w:lang w:bidi="ar-SY"/>
        </w:rPr>
        <w:t>500 nm</w:t>
      </w:r>
      <w:r>
        <w:rPr>
          <w:rFonts w:hint="cs"/>
          <w:rtl/>
          <w:lang w:bidi="ar-SY"/>
        </w:rPr>
        <w:t xml:space="preserve"> بعد 30 ثانية (</w:t>
      </w:r>
      <w:r>
        <w:rPr>
          <w:lang w:bidi="ar-SY"/>
        </w:rPr>
        <w:t>A1</w:t>
      </w:r>
      <w:r>
        <w:rPr>
          <w:rFonts w:hint="cs"/>
          <w:rtl/>
          <w:lang w:bidi="ar-SY"/>
        </w:rPr>
        <w:t xml:space="preserve">) وبعد </w:t>
      </w:r>
      <w:r w:rsidR="00160E10">
        <w:rPr>
          <w:rFonts w:hint="cs"/>
          <w:rtl/>
          <w:lang w:bidi="ar-SY"/>
        </w:rPr>
        <w:t>9</w:t>
      </w:r>
      <w:r>
        <w:rPr>
          <w:rFonts w:hint="cs"/>
          <w:rtl/>
          <w:lang w:bidi="ar-SY"/>
        </w:rPr>
        <w:t>0 ثانية (</w:t>
      </w:r>
      <w:r>
        <w:rPr>
          <w:lang w:bidi="ar-SY"/>
        </w:rPr>
        <w:t>A2</w:t>
      </w:r>
      <w:r>
        <w:rPr>
          <w:rFonts w:hint="cs"/>
          <w:rtl/>
          <w:lang w:bidi="ar-SY"/>
        </w:rPr>
        <w:t xml:space="preserve">) وذلك بعد التصفير على </w:t>
      </w:r>
      <w:r>
        <w:rPr>
          <w:lang w:bidi="ar-SY"/>
        </w:rPr>
        <w:t>blank</w:t>
      </w:r>
      <w:r>
        <w:rPr>
          <w:rFonts w:hint="cs"/>
          <w:rtl/>
          <w:lang w:bidi="ar-SY"/>
        </w:rPr>
        <w:t>.</w:t>
      </w:r>
    </w:p>
    <w:p w14:paraId="75CD7847" w14:textId="77777777" w:rsidR="0031059A" w:rsidRDefault="0031059A" w:rsidP="0031059A">
      <w:pPr>
        <w:numPr>
          <w:ilvl w:val="0"/>
          <w:numId w:val="21"/>
        </w:numPr>
        <w:spacing w:after="0" w:line="240" w:lineRule="auto"/>
        <w:jc w:val="both"/>
        <w:rPr>
          <w:rtl/>
        </w:rPr>
      </w:pPr>
      <w:r>
        <w:rPr>
          <w:rFonts w:hint="cs"/>
          <w:rtl/>
          <w:lang w:bidi="ar-SY"/>
        </w:rPr>
        <w:t>ا</w:t>
      </w:r>
      <w:r>
        <w:rPr>
          <w:rFonts w:hint="cs"/>
          <w:rtl/>
        </w:rPr>
        <w:t>حسب تركيز العينة المجهولة وفق ما يلي:</w:t>
      </w:r>
    </w:p>
    <w:p w14:paraId="668C3AA5" w14:textId="77777777" w:rsidR="0031059A" w:rsidRDefault="00160E10" w:rsidP="0031059A">
      <w:pPr>
        <w:spacing w:after="0" w:line="240" w:lineRule="auto"/>
        <w:jc w:val="both"/>
        <w:rPr>
          <w:rtl/>
          <w:lang w:bidi="ar-SY"/>
        </w:rPr>
      </w:pPr>
      <m:oMathPara>
        <m:oMath>
          <m:sSub>
            <m:sSubPr>
              <m:ctrlPr>
                <w:rPr>
                  <w:rFonts w:ascii="Cambria Math" w:hAnsi="Cambria Math"/>
                  <w:i/>
                  <w:sz w:val="28"/>
                  <w:szCs w:val="28"/>
                  <w:lang w:bidi="ar-SY"/>
                </w:rPr>
              </m:ctrlPr>
            </m:sSubPr>
            <m:e>
              <m:r>
                <w:rPr>
                  <w:rFonts w:ascii="Cambria Math" w:hAnsi="Cambria Math"/>
                  <w:lang w:bidi="ar-SY"/>
                </w:rPr>
                <m:t>C</m:t>
              </m:r>
            </m:e>
            <m:sub>
              <m:r>
                <w:rPr>
                  <w:rFonts w:ascii="Cambria Math" w:hAnsi="Cambria Math"/>
                  <w:lang w:bidi="ar-SY"/>
                </w:rPr>
                <m:t>sample</m:t>
              </m:r>
            </m:sub>
          </m:sSub>
          <m:r>
            <w:rPr>
              <w:rFonts w:ascii="Cambria Math" w:hAnsi="Cambria Math"/>
              <w:lang w:bidi="ar-SY"/>
            </w:rPr>
            <m:t>=</m:t>
          </m:r>
          <m:f>
            <m:fPr>
              <m:ctrlPr>
                <w:rPr>
                  <w:rFonts w:ascii="Cambria Math" w:hAnsi="Cambria Math"/>
                  <w:i/>
                  <w:sz w:val="28"/>
                  <w:szCs w:val="28"/>
                  <w:lang w:bidi="ar-SY"/>
                </w:rPr>
              </m:ctrlPr>
            </m:fPr>
            <m:num>
              <m:sSub>
                <m:sSubPr>
                  <m:ctrlPr>
                    <w:rPr>
                      <w:rFonts w:ascii="Cambria Math" w:hAnsi="Cambria Math"/>
                      <w:i/>
                      <w:sz w:val="28"/>
                      <w:szCs w:val="28"/>
                      <w:lang w:bidi="ar-SY"/>
                    </w:rPr>
                  </m:ctrlPr>
                </m:sSubPr>
                <m:e>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lang w:bidi="ar-SY"/>
                            </w:rPr>
                            <m:t>A</m:t>
                          </m:r>
                        </m:e>
                        <m:sub>
                          <m:r>
                            <w:rPr>
                              <w:rFonts w:ascii="Cambria Math" w:hAnsi="Cambria Math"/>
                              <w:lang w:bidi="ar-SY"/>
                            </w:rPr>
                            <m:t>2</m:t>
                          </m:r>
                        </m:sub>
                      </m:sSub>
                      <m:r>
                        <w:rPr>
                          <w:rFonts w:ascii="Cambria Math" w:hAnsi="Cambria Math"/>
                          <w:lang w:bidi="ar-SY"/>
                        </w:rPr>
                        <m:t>-</m:t>
                      </m:r>
                      <m:sSub>
                        <m:sSubPr>
                          <m:ctrlPr>
                            <w:rPr>
                              <w:rFonts w:ascii="Cambria Math" w:hAnsi="Cambria Math"/>
                              <w:i/>
                              <w:sz w:val="28"/>
                              <w:szCs w:val="28"/>
                              <w:lang w:bidi="ar-SY"/>
                            </w:rPr>
                          </m:ctrlPr>
                        </m:sSubPr>
                        <m:e>
                          <m:r>
                            <w:rPr>
                              <w:rFonts w:ascii="Cambria Math" w:hAnsi="Cambria Math"/>
                              <w:lang w:bidi="ar-SY"/>
                            </w:rPr>
                            <m:t>A</m:t>
                          </m:r>
                        </m:e>
                        <m:sub>
                          <m:r>
                            <w:rPr>
                              <w:rFonts w:ascii="Cambria Math" w:hAnsi="Cambria Math"/>
                              <w:lang w:bidi="ar-SY"/>
                            </w:rPr>
                            <m:t>1</m:t>
                          </m:r>
                        </m:sub>
                      </m:sSub>
                    </m:e>
                  </m:d>
                </m:e>
                <m:sub>
                  <m:r>
                    <w:rPr>
                      <w:rFonts w:ascii="Cambria Math" w:hAnsi="Cambria Math"/>
                      <w:lang w:bidi="ar-SY"/>
                    </w:rPr>
                    <m:t>sample</m:t>
                  </m:r>
                </m:sub>
              </m:sSub>
            </m:num>
            <m:den>
              <m:sSub>
                <m:sSubPr>
                  <m:ctrlPr>
                    <w:rPr>
                      <w:rFonts w:ascii="Cambria Math" w:hAnsi="Cambria Math"/>
                      <w:i/>
                      <w:sz w:val="28"/>
                      <w:szCs w:val="28"/>
                      <w:lang w:bidi="ar-SY"/>
                    </w:rPr>
                  </m:ctrlPr>
                </m:sSubPr>
                <m:e>
                  <m:d>
                    <m:dPr>
                      <m:ctrlPr>
                        <w:rPr>
                          <w:rFonts w:ascii="Cambria Math" w:hAnsi="Cambria Math"/>
                          <w:i/>
                          <w:sz w:val="28"/>
                          <w:szCs w:val="28"/>
                          <w:lang w:bidi="ar-SY"/>
                        </w:rPr>
                      </m:ctrlPr>
                    </m:dPr>
                    <m:e>
                      <m:sSub>
                        <m:sSubPr>
                          <m:ctrlPr>
                            <w:rPr>
                              <w:rFonts w:ascii="Cambria Math" w:hAnsi="Cambria Math"/>
                              <w:i/>
                              <w:sz w:val="28"/>
                              <w:szCs w:val="28"/>
                              <w:lang w:bidi="ar-SY"/>
                            </w:rPr>
                          </m:ctrlPr>
                        </m:sSubPr>
                        <m:e>
                          <m:r>
                            <w:rPr>
                              <w:rFonts w:ascii="Cambria Math" w:hAnsi="Cambria Math"/>
                              <w:lang w:bidi="ar-SY"/>
                            </w:rPr>
                            <m:t>A</m:t>
                          </m:r>
                        </m:e>
                        <m:sub>
                          <m:r>
                            <w:rPr>
                              <w:rFonts w:ascii="Cambria Math" w:hAnsi="Cambria Math"/>
                              <w:lang w:bidi="ar-SY"/>
                            </w:rPr>
                            <m:t>2</m:t>
                          </m:r>
                        </m:sub>
                      </m:sSub>
                      <m:r>
                        <w:rPr>
                          <w:rFonts w:ascii="Cambria Math" w:hAnsi="Cambria Math"/>
                          <w:lang w:bidi="ar-SY"/>
                        </w:rPr>
                        <m:t>-</m:t>
                      </m:r>
                      <m:sSub>
                        <m:sSubPr>
                          <m:ctrlPr>
                            <w:rPr>
                              <w:rFonts w:ascii="Cambria Math" w:hAnsi="Cambria Math"/>
                              <w:i/>
                              <w:sz w:val="28"/>
                              <w:szCs w:val="28"/>
                              <w:lang w:bidi="ar-SY"/>
                            </w:rPr>
                          </m:ctrlPr>
                        </m:sSubPr>
                        <m:e>
                          <m:r>
                            <w:rPr>
                              <w:rFonts w:ascii="Cambria Math" w:hAnsi="Cambria Math"/>
                              <w:lang w:bidi="ar-SY"/>
                            </w:rPr>
                            <m:t>A</m:t>
                          </m:r>
                        </m:e>
                        <m:sub>
                          <m:r>
                            <w:rPr>
                              <w:rFonts w:ascii="Cambria Math" w:hAnsi="Cambria Math"/>
                              <w:lang w:bidi="ar-SY"/>
                            </w:rPr>
                            <m:t>1</m:t>
                          </m:r>
                        </m:sub>
                      </m:sSub>
                    </m:e>
                  </m:d>
                </m:e>
                <m:sub>
                  <m:r>
                    <w:rPr>
                      <w:rFonts w:ascii="Cambria Math" w:hAnsi="Cambria Math"/>
                      <w:lang w:bidi="ar-SY"/>
                    </w:rPr>
                    <m:t>standard</m:t>
                  </m:r>
                </m:sub>
              </m:sSub>
            </m:den>
          </m:f>
          <m:r>
            <w:rPr>
              <w:rFonts w:ascii="Cambria Math" w:hAnsi="Cambria Math"/>
              <w:lang w:bidi="ar-SY"/>
            </w:rPr>
            <m:t>×</m:t>
          </m:r>
          <m:sSub>
            <m:sSubPr>
              <m:ctrlPr>
                <w:rPr>
                  <w:rFonts w:ascii="Cambria Math" w:hAnsi="Cambria Math"/>
                  <w:i/>
                  <w:sz w:val="28"/>
                  <w:szCs w:val="28"/>
                  <w:lang w:bidi="ar-SY"/>
                </w:rPr>
              </m:ctrlPr>
            </m:sSubPr>
            <m:e>
              <m:r>
                <w:rPr>
                  <w:rFonts w:ascii="Cambria Math" w:hAnsi="Cambria Math"/>
                  <w:lang w:bidi="ar-SY"/>
                </w:rPr>
                <m:t>C</m:t>
              </m:r>
            </m:e>
            <m:sub>
              <m:r>
                <w:rPr>
                  <w:rFonts w:ascii="Cambria Math" w:hAnsi="Cambria Math"/>
                  <w:lang w:bidi="ar-SY"/>
                </w:rPr>
                <m:t>standard</m:t>
              </m:r>
            </m:sub>
          </m:sSub>
        </m:oMath>
      </m:oMathPara>
    </w:p>
    <w:p w14:paraId="2CB2B9B6" w14:textId="77777777" w:rsidR="0031059A" w:rsidRDefault="0031059A" w:rsidP="0031059A">
      <w:pPr>
        <w:spacing w:after="0" w:line="240" w:lineRule="auto"/>
        <w:jc w:val="both"/>
        <w:rPr>
          <w:rtl/>
          <w:lang w:bidi="ar-SY"/>
        </w:rPr>
      </w:pPr>
    </w:p>
    <w:p w14:paraId="523D17DF" w14:textId="5F8B58ED" w:rsidR="00074732" w:rsidRPr="00370368" w:rsidRDefault="00074732" w:rsidP="0031059A">
      <w:pPr>
        <w:spacing w:after="0" w:line="240" w:lineRule="auto"/>
        <w:jc w:val="both"/>
        <w:rPr>
          <w:rtl/>
          <w:lang w:bidi="ar-SY"/>
        </w:rPr>
      </w:pPr>
    </w:p>
    <w:p w14:paraId="0CC9B104" w14:textId="77777777" w:rsidR="00074732" w:rsidRPr="00370368" w:rsidRDefault="00074732" w:rsidP="00074732">
      <w:pPr>
        <w:spacing w:after="0" w:line="240" w:lineRule="auto"/>
        <w:jc w:val="both"/>
        <w:rPr>
          <w:rtl/>
          <w:lang w:bidi="ar-SY"/>
        </w:rPr>
      </w:pPr>
    </w:p>
    <w:p w14:paraId="1F3F57AB" w14:textId="77777777" w:rsidR="006A670A" w:rsidRDefault="006A670A" w:rsidP="006A670A">
      <w:pPr>
        <w:spacing w:after="0" w:line="240" w:lineRule="auto"/>
        <w:jc w:val="both"/>
        <w:rPr>
          <w:rtl/>
          <w:lang w:bidi="ar-SY"/>
        </w:rPr>
      </w:pPr>
    </w:p>
    <w:p w14:paraId="5A763424" w14:textId="77777777" w:rsidR="006A670A" w:rsidRPr="009B121E" w:rsidRDefault="006A670A" w:rsidP="006A670A">
      <w:pPr>
        <w:spacing w:after="0" w:line="240" w:lineRule="auto"/>
        <w:jc w:val="both"/>
        <w:rPr>
          <w:rtl/>
          <w:lang w:bidi="ar-SY"/>
        </w:rPr>
      </w:pPr>
    </w:p>
    <w:sectPr w:rsidR="006A670A" w:rsidRPr="009B121E"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368C" w14:textId="77777777" w:rsidR="006D69C1" w:rsidRDefault="006D69C1" w:rsidP="00D05624">
      <w:r>
        <w:separator/>
      </w:r>
    </w:p>
  </w:endnote>
  <w:endnote w:type="continuationSeparator" w:id="0">
    <w:p w14:paraId="06AF753E" w14:textId="77777777" w:rsidR="006D69C1" w:rsidRDefault="006D69C1"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ACE1D" w14:textId="77777777" w:rsidR="006D69C1" w:rsidRDefault="006D69C1" w:rsidP="00D05624">
      <w:r>
        <w:separator/>
      </w:r>
    </w:p>
  </w:footnote>
  <w:footnote w:type="continuationSeparator" w:id="0">
    <w:p w14:paraId="551FBD40" w14:textId="77777777" w:rsidR="006D69C1" w:rsidRDefault="006D69C1"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60E1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D83"/>
    <w:multiLevelType w:val="hybridMultilevel"/>
    <w:tmpl w:val="471C5834"/>
    <w:lvl w:ilvl="0" w:tplc="40EAAAC8">
      <w:start w:val="1"/>
      <w:numFmt w:val="decimal"/>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A19"/>
    <w:multiLevelType w:val="hybridMultilevel"/>
    <w:tmpl w:val="322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535D"/>
    <w:multiLevelType w:val="hybridMultilevel"/>
    <w:tmpl w:val="DED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87AB3"/>
    <w:multiLevelType w:val="hybridMultilevel"/>
    <w:tmpl w:val="203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77C8F"/>
    <w:multiLevelType w:val="hybridMultilevel"/>
    <w:tmpl w:val="33D2877A"/>
    <w:lvl w:ilvl="0" w:tplc="33FCB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7B08"/>
    <w:multiLevelType w:val="hybridMultilevel"/>
    <w:tmpl w:val="280A4BC4"/>
    <w:lvl w:ilvl="0" w:tplc="02C0EA0C">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1E60"/>
    <w:multiLevelType w:val="hybridMultilevel"/>
    <w:tmpl w:val="F6221214"/>
    <w:lvl w:ilvl="0" w:tplc="F03AA854">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B365A"/>
    <w:multiLevelType w:val="hybridMultilevel"/>
    <w:tmpl w:val="DF8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283E"/>
    <w:multiLevelType w:val="hybridMultilevel"/>
    <w:tmpl w:val="6B50518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0"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1" w15:restartNumberingAfterBreak="0">
    <w:nsid w:val="5594517D"/>
    <w:multiLevelType w:val="hybridMultilevel"/>
    <w:tmpl w:val="DBB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46623"/>
    <w:multiLevelType w:val="hybridMultilevel"/>
    <w:tmpl w:val="66C05A4A"/>
    <w:lvl w:ilvl="0" w:tplc="1C58AD44">
      <w:start w:val="1"/>
      <w:numFmt w:val="decimal"/>
      <w:lvlText w:val="%1)"/>
      <w:lvlJc w:val="left"/>
      <w:pPr>
        <w:ind w:left="720" w:hanging="360"/>
      </w:pPr>
      <w:rPr>
        <w:rFonts w:asciiTheme="minorHAnsi" w:hAnsiTheme="minorHAnsi" w:cstheme="minorHAnsi"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5E70F3"/>
    <w:multiLevelType w:val="hybridMultilevel"/>
    <w:tmpl w:val="D88AE1AE"/>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14" w15:restartNumberingAfterBreak="0">
    <w:nsid w:val="718D08CA"/>
    <w:multiLevelType w:val="hybridMultilevel"/>
    <w:tmpl w:val="E10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91760"/>
    <w:multiLevelType w:val="hybridMultilevel"/>
    <w:tmpl w:val="D7FECC7A"/>
    <w:lvl w:ilvl="0" w:tplc="04090001">
      <w:start w:val="1"/>
      <w:numFmt w:val="bullet"/>
      <w:lvlText w:val=""/>
      <w:lvlJc w:val="left"/>
      <w:pPr>
        <w:ind w:left="731" w:hanging="360"/>
      </w:pPr>
      <w:rPr>
        <w:rFonts w:ascii="Symbol" w:hAnsi="Symbol" w:hint="default"/>
      </w:rPr>
    </w:lvl>
    <w:lvl w:ilvl="1" w:tplc="04090003">
      <w:start w:val="1"/>
      <w:numFmt w:val="bullet"/>
      <w:lvlText w:val="o"/>
      <w:lvlJc w:val="left"/>
      <w:pPr>
        <w:ind w:left="1451" w:hanging="360"/>
      </w:pPr>
      <w:rPr>
        <w:rFonts w:ascii="Courier New" w:hAnsi="Courier New" w:cs="Courier New" w:hint="default"/>
      </w:rPr>
    </w:lvl>
    <w:lvl w:ilvl="2" w:tplc="04090005">
      <w:start w:val="1"/>
      <w:numFmt w:val="bullet"/>
      <w:lvlText w:val=""/>
      <w:lvlJc w:val="left"/>
      <w:pPr>
        <w:ind w:left="2171" w:hanging="360"/>
      </w:pPr>
      <w:rPr>
        <w:rFonts w:ascii="Wingdings" w:hAnsi="Wingdings" w:hint="default"/>
      </w:rPr>
    </w:lvl>
    <w:lvl w:ilvl="3" w:tplc="04090001">
      <w:start w:val="1"/>
      <w:numFmt w:val="bullet"/>
      <w:lvlText w:val=""/>
      <w:lvlJc w:val="left"/>
      <w:pPr>
        <w:ind w:left="2891" w:hanging="360"/>
      </w:pPr>
      <w:rPr>
        <w:rFonts w:ascii="Symbol" w:hAnsi="Symbol" w:hint="default"/>
      </w:rPr>
    </w:lvl>
    <w:lvl w:ilvl="4" w:tplc="04090003">
      <w:start w:val="1"/>
      <w:numFmt w:val="bullet"/>
      <w:lvlText w:val="o"/>
      <w:lvlJc w:val="left"/>
      <w:pPr>
        <w:ind w:left="3611" w:hanging="360"/>
      </w:pPr>
      <w:rPr>
        <w:rFonts w:ascii="Courier New" w:hAnsi="Courier New" w:cs="Courier New" w:hint="default"/>
      </w:rPr>
    </w:lvl>
    <w:lvl w:ilvl="5" w:tplc="04090005">
      <w:start w:val="1"/>
      <w:numFmt w:val="bullet"/>
      <w:lvlText w:val=""/>
      <w:lvlJc w:val="left"/>
      <w:pPr>
        <w:ind w:left="4331" w:hanging="360"/>
      </w:pPr>
      <w:rPr>
        <w:rFonts w:ascii="Wingdings" w:hAnsi="Wingdings" w:hint="default"/>
      </w:rPr>
    </w:lvl>
    <w:lvl w:ilvl="6" w:tplc="04090001">
      <w:start w:val="1"/>
      <w:numFmt w:val="bullet"/>
      <w:lvlText w:val=""/>
      <w:lvlJc w:val="left"/>
      <w:pPr>
        <w:ind w:left="5051" w:hanging="360"/>
      </w:pPr>
      <w:rPr>
        <w:rFonts w:ascii="Symbol" w:hAnsi="Symbol" w:hint="default"/>
      </w:rPr>
    </w:lvl>
    <w:lvl w:ilvl="7" w:tplc="04090003">
      <w:start w:val="1"/>
      <w:numFmt w:val="bullet"/>
      <w:lvlText w:val="o"/>
      <w:lvlJc w:val="left"/>
      <w:pPr>
        <w:ind w:left="5771" w:hanging="360"/>
      </w:pPr>
      <w:rPr>
        <w:rFonts w:ascii="Courier New" w:hAnsi="Courier New" w:cs="Courier New" w:hint="default"/>
      </w:rPr>
    </w:lvl>
    <w:lvl w:ilvl="8" w:tplc="04090005">
      <w:start w:val="1"/>
      <w:numFmt w:val="bullet"/>
      <w:lvlText w:val=""/>
      <w:lvlJc w:val="left"/>
      <w:pPr>
        <w:ind w:left="6491" w:hanging="360"/>
      </w:pPr>
      <w:rPr>
        <w:rFonts w:ascii="Wingdings" w:hAnsi="Wingdings" w:hint="default"/>
      </w:rPr>
    </w:lvl>
  </w:abstractNum>
  <w:abstractNum w:abstractNumId="1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038D8"/>
    <w:multiLevelType w:val="hybridMultilevel"/>
    <w:tmpl w:val="19762B8A"/>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8" w15:restartNumberingAfterBreak="0">
    <w:nsid w:val="7E653CA1"/>
    <w:multiLevelType w:val="hybridMultilevel"/>
    <w:tmpl w:val="57F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95FD2"/>
    <w:multiLevelType w:val="hybridMultilevel"/>
    <w:tmpl w:val="9DA6572E"/>
    <w:lvl w:ilvl="0" w:tplc="04962B22">
      <w:start w:val="1"/>
      <w:numFmt w:val="decimal"/>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A3FAD"/>
    <w:multiLevelType w:val="hybridMultilevel"/>
    <w:tmpl w:val="11F0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5746413">
    <w:abstractNumId w:val="3"/>
  </w:num>
  <w:num w:numId="2" w16cid:durableId="119960233">
    <w:abstractNumId w:val="16"/>
  </w:num>
  <w:num w:numId="3" w16cid:durableId="217057474">
    <w:abstractNumId w:val="10"/>
  </w:num>
  <w:num w:numId="4" w16cid:durableId="890849363">
    <w:abstractNumId w:val="14"/>
  </w:num>
  <w:num w:numId="5" w16cid:durableId="1534460438">
    <w:abstractNumId w:val="6"/>
  </w:num>
  <w:num w:numId="6" w16cid:durableId="272245367">
    <w:abstractNumId w:val="19"/>
  </w:num>
  <w:num w:numId="7" w16cid:durableId="156003446">
    <w:abstractNumId w:val="5"/>
  </w:num>
  <w:num w:numId="8" w16cid:durableId="850144077">
    <w:abstractNumId w:val="9"/>
  </w:num>
  <w:num w:numId="9" w16cid:durableId="196165569">
    <w:abstractNumId w:val="4"/>
  </w:num>
  <w:num w:numId="10" w16cid:durableId="433786297">
    <w:abstractNumId w:val="7"/>
  </w:num>
  <w:num w:numId="11" w16cid:durableId="506483062">
    <w:abstractNumId w:val="17"/>
  </w:num>
  <w:num w:numId="12" w16cid:durableId="1155490054">
    <w:abstractNumId w:val="2"/>
  </w:num>
  <w:num w:numId="13" w16cid:durableId="867258216">
    <w:abstractNumId w:val="1"/>
  </w:num>
  <w:num w:numId="14" w16cid:durableId="282470011">
    <w:abstractNumId w:val="18"/>
  </w:num>
  <w:num w:numId="15" w16cid:durableId="859391162">
    <w:abstractNumId w:val="11"/>
  </w:num>
  <w:num w:numId="16" w16cid:durableId="1424715930">
    <w:abstractNumId w:val="8"/>
  </w:num>
  <w:num w:numId="17" w16cid:durableId="121926527">
    <w:abstractNumId w:val="0"/>
  </w:num>
  <w:num w:numId="18" w16cid:durableId="3183089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9045876">
    <w:abstractNumId w:val="20"/>
  </w:num>
  <w:num w:numId="20" w16cid:durableId="827286353">
    <w:abstractNumId w:val="15"/>
  </w:num>
  <w:num w:numId="21" w16cid:durableId="2187063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07C7"/>
    <w:rsid w:val="000611D0"/>
    <w:rsid w:val="00074732"/>
    <w:rsid w:val="00087306"/>
    <w:rsid w:val="000B6526"/>
    <w:rsid w:val="00137DC0"/>
    <w:rsid w:val="001579D9"/>
    <w:rsid w:val="00160E10"/>
    <w:rsid w:val="00167CE4"/>
    <w:rsid w:val="0017222F"/>
    <w:rsid w:val="00187BB0"/>
    <w:rsid w:val="001F783B"/>
    <w:rsid w:val="002D09B6"/>
    <w:rsid w:val="00300C7F"/>
    <w:rsid w:val="0031059A"/>
    <w:rsid w:val="003E1627"/>
    <w:rsid w:val="00446A4B"/>
    <w:rsid w:val="00455E1B"/>
    <w:rsid w:val="0049227E"/>
    <w:rsid w:val="004D06C8"/>
    <w:rsid w:val="005B4EF4"/>
    <w:rsid w:val="005F696B"/>
    <w:rsid w:val="00664A51"/>
    <w:rsid w:val="006A670A"/>
    <w:rsid w:val="006A697C"/>
    <w:rsid w:val="006D5F2D"/>
    <w:rsid w:val="006D69C1"/>
    <w:rsid w:val="006E55D8"/>
    <w:rsid w:val="006E6DA2"/>
    <w:rsid w:val="00701B29"/>
    <w:rsid w:val="00727C27"/>
    <w:rsid w:val="007C2993"/>
    <w:rsid w:val="0083168D"/>
    <w:rsid w:val="00847301"/>
    <w:rsid w:val="00855B13"/>
    <w:rsid w:val="00896A3F"/>
    <w:rsid w:val="00913659"/>
    <w:rsid w:val="00913814"/>
    <w:rsid w:val="009C0A33"/>
    <w:rsid w:val="00A057F2"/>
    <w:rsid w:val="00A6175F"/>
    <w:rsid w:val="00A66825"/>
    <w:rsid w:val="00AC0DE1"/>
    <w:rsid w:val="00AF536F"/>
    <w:rsid w:val="00BB2074"/>
    <w:rsid w:val="00C11584"/>
    <w:rsid w:val="00C451AF"/>
    <w:rsid w:val="00D05624"/>
    <w:rsid w:val="00D62DD4"/>
    <w:rsid w:val="00D8744D"/>
    <w:rsid w:val="00DA5A58"/>
    <w:rsid w:val="00DA5EDB"/>
    <w:rsid w:val="00DC2F28"/>
    <w:rsid w:val="00E03332"/>
    <w:rsid w:val="00E10D7E"/>
    <w:rsid w:val="00E926F6"/>
    <w:rsid w:val="00EE29E3"/>
    <w:rsid w:val="00EF04CB"/>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3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4629">
      <w:bodyDiv w:val="1"/>
      <w:marLeft w:val="0"/>
      <w:marRight w:val="0"/>
      <w:marTop w:val="0"/>
      <w:marBottom w:val="0"/>
      <w:divBdr>
        <w:top w:val="none" w:sz="0" w:space="0" w:color="auto"/>
        <w:left w:val="none" w:sz="0" w:space="0" w:color="auto"/>
        <w:bottom w:val="none" w:sz="0" w:space="0" w:color="auto"/>
        <w:right w:val="none" w:sz="0" w:space="0" w:color="auto"/>
      </w:divBdr>
    </w:div>
    <w:div w:id="592515864">
      <w:bodyDiv w:val="1"/>
      <w:marLeft w:val="0"/>
      <w:marRight w:val="0"/>
      <w:marTop w:val="0"/>
      <w:marBottom w:val="0"/>
      <w:divBdr>
        <w:top w:val="none" w:sz="0" w:space="0" w:color="auto"/>
        <w:left w:val="none" w:sz="0" w:space="0" w:color="auto"/>
        <w:bottom w:val="none" w:sz="0" w:space="0" w:color="auto"/>
        <w:right w:val="none" w:sz="0" w:space="0" w:color="auto"/>
      </w:divBdr>
    </w:div>
    <w:div w:id="702025022">
      <w:bodyDiv w:val="1"/>
      <w:marLeft w:val="0"/>
      <w:marRight w:val="0"/>
      <w:marTop w:val="0"/>
      <w:marBottom w:val="0"/>
      <w:divBdr>
        <w:top w:val="none" w:sz="0" w:space="0" w:color="auto"/>
        <w:left w:val="none" w:sz="0" w:space="0" w:color="auto"/>
        <w:bottom w:val="none" w:sz="0" w:space="0" w:color="auto"/>
        <w:right w:val="none" w:sz="0" w:space="0" w:color="auto"/>
      </w:divBdr>
    </w:div>
    <w:div w:id="957448128">
      <w:bodyDiv w:val="1"/>
      <w:marLeft w:val="0"/>
      <w:marRight w:val="0"/>
      <w:marTop w:val="0"/>
      <w:marBottom w:val="0"/>
      <w:divBdr>
        <w:top w:val="none" w:sz="0" w:space="0" w:color="auto"/>
        <w:left w:val="none" w:sz="0" w:space="0" w:color="auto"/>
        <w:bottom w:val="none" w:sz="0" w:space="0" w:color="auto"/>
        <w:right w:val="none" w:sz="0" w:space="0" w:color="auto"/>
      </w:divBdr>
    </w:div>
    <w:div w:id="1601332014">
      <w:bodyDiv w:val="1"/>
      <w:marLeft w:val="0"/>
      <w:marRight w:val="0"/>
      <w:marTop w:val="0"/>
      <w:marBottom w:val="0"/>
      <w:divBdr>
        <w:top w:val="none" w:sz="0" w:space="0" w:color="auto"/>
        <w:left w:val="none" w:sz="0" w:space="0" w:color="auto"/>
        <w:bottom w:val="none" w:sz="0" w:space="0" w:color="auto"/>
        <w:right w:val="none" w:sz="0" w:space="0" w:color="auto"/>
      </w:divBdr>
    </w:div>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 w:id="1974217461">
      <w:bodyDiv w:val="1"/>
      <w:marLeft w:val="0"/>
      <w:marRight w:val="0"/>
      <w:marTop w:val="0"/>
      <w:marBottom w:val="0"/>
      <w:divBdr>
        <w:top w:val="none" w:sz="0" w:space="0" w:color="auto"/>
        <w:left w:val="none" w:sz="0" w:space="0" w:color="auto"/>
        <w:bottom w:val="none" w:sz="0" w:space="0" w:color="auto"/>
        <w:right w:val="none" w:sz="0" w:space="0" w:color="auto"/>
      </w:divBdr>
    </w:div>
    <w:div w:id="21139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14</cp:revision>
  <cp:lastPrinted>2023-05-02T06:37:00Z</cp:lastPrinted>
  <dcterms:created xsi:type="dcterms:W3CDTF">2023-05-03T09:14:00Z</dcterms:created>
  <dcterms:modified xsi:type="dcterms:W3CDTF">2023-11-06T09:25:00Z</dcterms:modified>
</cp:coreProperties>
</file>